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6" w:rsidRDefault="009841EB" w:rsidP="007207D8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6032A90A" wp14:editId="128BD16F">
            <wp:simplePos x="0" y="0"/>
            <wp:positionH relativeFrom="column">
              <wp:posOffset>4890135</wp:posOffset>
            </wp:positionH>
            <wp:positionV relativeFrom="paragraph">
              <wp:posOffset>-339090</wp:posOffset>
            </wp:positionV>
            <wp:extent cx="922020" cy="603250"/>
            <wp:effectExtent l="0" t="0" r="0" b="6350"/>
            <wp:wrapNone/>
            <wp:docPr id="9" name="Obraz 9" descr="C:\Users\ST1\AppData\Local\Microsoft\Windows\INetCache\Content.Word\green-600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1\AppData\Local\Microsoft\Windows\INetCache\Content.Word\green-600x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FCC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08FB4453" wp14:editId="2A78E45E">
            <wp:simplePos x="0" y="0"/>
            <wp:positionH relativeFrom="column">
              <wp:posOffset>3682653</wp:posOffset>
            </wp:positionH>
            <wp:positionV relativeFrom="paragraph">
              <wp:posOffset>-406461</wp:posOffset>
            </wp:positionV>
            <wp:extent cx="733245" cy="705563"/>
            <wp:effectExtent l="0" t="0" r="0" b="0"/>
            <wp:wrapNone/>
            <wp:docPr id="8" name="Obraz 8" descr="D:\ANNA\Pulpit\klrw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A\Pulpit\klrwp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11" cy="7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FCC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7ADDB72C" wp14:editId="26C908B3">
            <wp:simplePos x="0" y="0"/>
            <wp:positionH relativeFrom="column">
              <wp:posOffset>2595245</wp:posOffset>
            </wp:positionH>
            <wp:positionV relativeFrom="paragraph">
              <wp:posOffset>-551815</wp:posOffset>
            </wp:positionV>
            <wp:extent cx="534670" cy="858520"/>
            <wp:effectExtent l="0" t="0" r="0" b="0"/>
            <wp:wrapNone/>
            <wp:docPr id="7" name="Obraz 7" descr="Z:\K L I E N C I\XV PUO\LOGO PUO\P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 L I E N C I\XV PUO\LOGO PUO\PU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0" t="31113" r="26582" b="33984"/>
                    <a:stretch/>
                  </pic:blipFill>
                  <pic:spPr bwMode="auto">
                    <a:xfrm>
                      <a:off x="0" y="0"/>
                      <a:ext cx="5346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FCC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95F7C4B" wp14:editId="2F3004BE">
            <wp:simplePos x="0" y="0"/>
            <wp:positionH relativeFrom="column">
              <wp:posOffset>1097915</wp:posOffset>
            </wp:positionH>
            <wp:positionV relativeFrom="paragraph">
              <wp:posOffset>-356235</wp:posOffset>
            </wp:positionV>
            <wp:extent cx="741045" cy="619125"/>
            <wp:effectExtent l="0" t="0" r="1905" b="9525"/>
            <wp:wrapNone/>
            <wp:docPr id="6" name="Obraz 6" descr="Z:\K L I E N C I\Debata 5.12.2016\Logotypy\logo_ISP_TI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 L I E N C I\Debata 5.12.2016\Logotypy\logo_ISP_TIF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D8" w:rsidRPr="00C42749">
        <w:rPr>
          <w:rFonts w:ascii="Arial Narrow" w:hAnsi="Arial Narrow"/>
          <w:noProof/>
          <w:color w:val="CF9D0F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F14C2" wp14:editId="4ADC37BC">
                <wp:simplePos x="0" y="0"/>
                <wp:positionH relativeFrom="column">
                  <wp:posOffset>-1149350</wp:posOffset>
                </wp:positionH>
                <wp:positionV relativeFrom="paragraph">
                  <wp:posOffset>-409575</wp:posOffset>
                </wp:positionV>
                <wp:extent cx="1748155" cy="775335"/>
                <wp:effectExtent l="0" t="8890" r="14605" b="14605"/>
                <wp:wrapNone/>
                <wp:docPr id="20" name="Trójkąt prostokąt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8155" cy="775335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9" o:spid="_x0000_s1026" type="#_x0000_t6" style="position:absolute;margin-left:-90.5pt;margin-top:-32.25pt;width:137.65pt;height:61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" fillcolor="#622423 [1605]" strokecolor="#630" strokeweight="2pt"/>
            </w:pict>
          </mc:Fallback>
        </mc:AlternateContent>
      </w:r>
      <w:r w:rsidR="007207D8" w:rsidRPr="00352586">
        <w:rPr>
          <w:i/>
          <w:noProof/>
          <w:color w:val="CC99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2F84A" wp14:editId="730C3CA5">
                <wp:simplePos x="0" y="0"/>
                <wp:positionH relativeFrom="column">
                  <wp:posOffset>-844550</wp:posOffset>
                </wp:positionH>
                <wp:positionV relativeFrom="paragraph">
                  <wp:posOffset>-704850</wp:posOffset>
                </wp:positionV>
                <wp:extent cx="1692910" cy="1306830"/>
                <wp:effectExtent l="2540" t="0" r="24130" b="24130"/>
                <wp:wrapNone/>
                <wp:docPr id="19" name="Trójkąt prostokąt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2910" cy="1306830"/>
                        </a:xfrm>
                        <a:prstGeom prst="rtTriangle">
                          <a:avLst/>
                        </a:prstGeom>
                        <a:solidFill>
                          <a:srgbClr val="CF9D0F"/>
                        </a:solidFill>
                        <a:ln>
                          <a:solidFill>
                            <a:srgbClr val="CF9D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8" o:spid="_x0000_s1026" type="#_x0000_t6" style="position:absolute;margin-left:-66.5pt;margin-top:-55.5pt;width:133.3pt;height:102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" fillcolor="#cf9d0f" strokecolor="#cf9d0f" strokeweight="2pt"/>
            </w:pict>
          </mc:Fallback>
        </mc:AlternateContent>
      </w:r>
    </w:p>
    <w:p w:rsidR="005C7DAA" w:rsidRDefault="005C7DAA" w:rsidP="007207D8">
      <w:pPr>
        <w:rPr>
          <w:rFonts w:cstheme="minorHAnsi"/>
          <w:b/>
          <w:color w:val="CF9D0F"/>
          <w:sz w:val="28"/>
          <w:szCs w:val="40"/>
        </w:rPr>
      </w:pPr>
    </w:p>
    <w:p w:rsidR="007207D8" w:rsidRDefault="007207D8" w:rsidP="007207D8">
      <w:pPr>
        <w:rPr>
          <w:rFonts w:cstheme="minorHAnsi"/>
          <w:b/>
          <w:color w:val="CF9D0F"/>
          <w:sz w:val="28"/>
          <w:szCs w:val="40"/>
        </w:rPr>
      </w:pPr>
    </w:p>
    <w:p w:rsidR="00E9427D" w:rsidRDefault="007207D8" w:rsidP="00E9427D">
      <w:pPr>
        <w:jc w:val="center"/>
        <w:rPr>
          <w:rFonts w:cstheme="minorHAnsi"/>
          <w:b/>
          <w:color w:val="CF9D0F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5A86CDF" wp14:editId="19657EAE">
            <wp:extent cx="3095625" cy="9784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2167" cy="98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408">
        <w:rPr>
          <w:rFonts w:cstheme="minorHAnsi"/>
          <w:noProof/>
          <w:color w:val="CF9D0F"/>
          <w:sz w:val="28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9A09E" wp14:editId="1D53AB36">
                <wp:simplePos x="0" y="0"/>
                <wp:positionH relativeFrom="column">
                  <wp:posOffset>-180975</wp:posOffset>
                </wp:positionH>
                <wp:positionV relativeFrom="paragraph">
                  <wp:posOffset>275590</wp:posOffset>
                </wp:positionV>
                <wp:extent cx="6453505" cy="329565"/>
                <wp:effectExtent l="0" t="0" r="0" b="0"/>
                <wp:wrapNone/>
                <wp:docPr id="10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7408" w:rsidRPr="00727408" w:rsidRDefault="00727408" w:rsidP="0072740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-14.25pt;margin-top:21.7pt;width:508.15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" filled="f" stroked="f">
                <v:textbox>
                  <w:txbxContent>
                    <w:p w:rsidR="00727408" w:rsidRPr="00727408" w:rsidRDefault="00727408" w:rsidP="0072740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427D" w:rsidRPr="00E0463E" w:rsidRDefault="00E9427D" w:rsidP="00E9427D">
      <w:pPr>
        <w:jc w:val="center"/>
        <w:rPr>
          <w:rFonts w:cstheme="minorHAnsi"/>
          <w:b/>
          <w:color w:val="CF9D0F"/>
          <w:sz w:val="28"/>
          <w:szCs w:val="28"/>
        </w:rPr>
      </w:pPr>
      <w:r w:rsidRPr="00E0463E">
        <w:rPr>
          <w:rFonts w:cstheme="minorHAnsi"/>
          <w:b/>
          <w:color w:val="CF9D0F"/>
          <w:sz w:val="28"/>
          <w:szCs w:val="28"/>
        </w:rPr>
        <w:t>Honorowy Patronat Ks. Kardynała Kazimierza Nycza</w:t>
      </w:r>
    </w:p>
    <w:p w:rsidR="00E9427D" w:rsidRDefault="00E9427D" w:rsidP="00E9427D">
      <w:pPr>
        <w:jc w:val="center"/>
        <w:rPr>
          <w:rFonts w:cstheme="minorHAnsi"/>
          <w:b/>
          <w:color w:val="663300"/>
          <w:sz w:val="36"/>
          <w:szCs w:val="36"/>
        </w:rPr>
      </w:pPr>
    </w:p>
    <w:p w:rsidR="006569DA" w:rsidRDefault="006569DA" w:rsidP="00707DB4">
      <w:pPr>
        <w:spacing w:after="0"/>
        <w:jc w:val="center"/>
        <w:rPr>
          <w:rFonts w:cstheme="minorHAnsi"/>
          <w:b/>
          <w:color w:val="663300"/>
          <w:sz w:val="44"/>
          <w:szCs w:val="44"/>
        </w:rPr>
      </w:pPr>
      <w:r>
        <w:rPr>
          <w:rFonts w:cstheme="minorHAnsi"/>
          <w:b/>
          <w:color w:val="663300"/>
          <w:sz w:val="44"/>
          <w:szCs w:val="44"/>
        </w:rPr>
        <w:t xml:space="preserve">I </w:t>
      </w:r>
      <w:r w:rsidRPr="006569DA">
        <w:rPr>
          <w:rFonts w:cstheme="minorHAnsi"/>
          <w:b/>
          <w:color w:val="663300"/>
          <w:sz w:val="44"/>
          <w:szCs w:val="44"/>
        </w:rPr>
        <w:t>Spotkanie Rady Ekspertów ds. Chorób Metabolicznych i Przeciwdziałania Otyłości</w:t>
      </w:r>
      <w:r>
        <w:rPr>
          <w:rFonts w:cstheme="minorHAnsi"/>
          <w:b/>
          <w:color w:val="663300"/>
          <w:sz w:val="44"/>
          <w:szCs w:val="44"/>
        </w:rPr>
        <w:t xml:space="preserve"> </w:t>
      </w:r>
    </w:p>
    <w:p w:rsidR="00D7236D" w:rsidRDefault="00D7236D" w:rsidP="00D7236D">
      <w:pPr>
        <w:spacing w:after="0"/>
        <w:jc w:val="center"/>
        <w:rPr>
          <w:rFonts w:cstheme="minorHAnsi"/>
          <w:b/>
          <w:bCs/>
          <w:color w:val="663300"/>
          <w:sz w:val="32"/>
          <w:szCs w:val="32"/>
        </w:rPr>
      </w:pPr>
    </w:p>
    <w:p w:rsidR="00D7236D" w:rsidRPr="00D7236D" w:rsidRDefault="00D7236D" w:rsidP="00D7236D">
      <w:pPr>
        <w:spacing w:after="0"/>
        <w:jc w:val="center"/>
        <w:rPr>
          <w:rFonts w:cstheme="minorHAnsi"/>
          <w:b/>
          <w:color w:val="663300"/>
          <w:sz w:val="32"/>
          <w:szCs w:val="32"/>
        </w:rPr>
      </w:pPr>
      <w:r w:rsidRPr="00D7236D">
        <w:rPr>
          <w:rFonts w:cstheme="minorHAnsi"/>
          <w:b/>
          <w:bCs/>
          <w:color w:val="663300"/>
          <w:sz w:val="32"/>
          <w:szCs w:val="32"/>
        </w:rPr>
        <w:t>11 grudnia 2019</w:t>
      </w:r>
    </w:p>
    <w:p w:rsidR="00707DB4" w:rsidRDefault="00707DB4" w:rsidP="00707DB4">
      <w:pPr>
        <w:spacing w:after="0"/>
        <w:jc w:val="center"/>
        <w:rPr>
          <w:rFonts w:cstheme="minorHAnsi"/>
          <w:b/>
          <w:color w:val="CF9D0F"/>
          <w:sz w:val="28"/>
          <w:szCs w:val="28"/>
        </w:rPr>
      </w:pPr>
    </w:p>
    <w:p w:rsidR="006569DA" w:rsidRPr="00B329DC" w:rsidRDefault="00044CAA" w:rsidP="00B329DC">
      <w:pPr>
        <w:spacing w:line="480" w:lineRule="auto"/>
        <w:jc w:val="center"/>
        <w:rPr>
          <w:rFonts w:cstheme="minorHAnsi"/>
          <w:b/>
          <w:color w:val="663300"/>
          <w:sz w:val="28"/>
          <w:szCs w:val="28"/>
        </w:rPr>
      </w:pPr>
      <w:r w:rsidRPr="00555948">
        <w:rPr>
          <w:rFonts w:cstheme="minorHAnsi"/>
          <w:b/>
          <w:color w:val="663300"/>
          <w:sz w:val="28"/>
          <w:szCs w:val="28"/>
        </w:rPr>
        <w:t>*</w:t>
      </w:r>
    </w:p>
    <w:p w:rsidR="006569DA" w:rsidRDefault="006569DA" w:rsidP="006569DA">
      <w:pPr>
        <w:spacing w:after="0"/>
        <w:jc w:val="center"/>
        <w:rPr>
          <w:rFonts w:cstheme="minorHAnsi"/>
          <w:b/>
          <w:color w:val="663300"/>
          <w:sz w:val="44"/>
          <w:szCs w:val="44"/>
        </w:rPr>
      </w:pPr>
      <w:proofErr w:type="spellStart"/>
      <w:r w:rsidRPr="006569DA">
        <w:rPr>
          <w:rFonts w:cstheme="minorHAnsi"/>
          <w:b/>
          <w:color w:val="663300"/>
          <w:sz w:val="44"/>
          <w:szCs w:val="44"/>
        </w:rPr>
        <w:t>Position</w:t>
      </w:r>
      <w:proofErr w:type="spellEnd"/>
      <w:r w:rsidRPr="006569DA">
        <w:rPr>
          <w:rFonts w:cstheme="minorHAnsi"/>
          <w:b/>
          <w:color w:val="663300"/>
          <w:sz w:val="44"/>
          <w:szCs w:val="44"/>
        </w:rPr>
        <w:t xml:space="preserve"> Paper </w:t>
      </w:r>
    </w:p>
    <w:p w:rsidR="00555948" w:rsidRDefault="006569DA" w:rsidP="006569DA">
      <w:pPr>
        <w:jc w:val="center"/>
        <w:rPr>
          <w:rFonts w:cstheme="minorHAnsi"/>
          <w:b/>
          <w:color w:val="663300"/>
          <w:sz w:val="28"/>
          <w:szCs w:val="28"/>
        </w:rPr>
      </w:pPr>
      <w:r w:rsidRPr="006569DA">
        <w:rPr>
          <w:rFonts w:cstheme="minorHAnsi"/>
          <w:b/>
          <w:color w:val="663300"/>
          <w:sz w:val="28"/>
          <w:szCs w:val="28"/>
        </w:rPr>
        <w:t>w zakresie Chorób Metabolicznych i Przeciwdziałania Otyłości w Polsce</w:t>
      </w:r>
    </w:p>
    <w:p w:rsidR="006569DA" w:rsidRDefault="006569DA" w:rsidP="006569DA">
      <w:pPr>
        <w:spacing w:after="160" w:line="256" w:lineRule="auto"/>
        <w:jc w:val="both"/>
        <w:rPr>
          <w:rFonts w:ascii="Calibri" w:eastAsia="Calibri" w:hAnsi="Calibri" w:cs="Times New Roman"/>
          <w:bCs/>
          <w:sz w:val="24"/>
        </w:rPr>
      </w:pPr>
    </w:p>
    <w:p w:rsidR="006569DA" w:rsidRPr="00B329DC" w:rsidRDefault="006569DA" w:rsidP="006569DA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</w:p>
    <w:p w:rsid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Choroby metaboliczne powstają w wyniku zaburzeń genetycznych (choroby metaboliczne wrodzone) lub rozwijają się, jako konsekwencja nieprawidłowego stylu życia i diety (choroby metaboliczne nabyte). </w:t>
      </w:r>
    </w:p>
    <w:p w:rsidR="007171DA" w:rsidRPr="00B329DC" w:rsidRDefault="007171DA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</w:p>
    <w:p w:rsidR="00B329DC" w:rsidRPr="00B329DC" w:rsidRDefault="00B329DC" w:rsidP="00B329DC">
      <w:pPr>
        <w:spacing w:after="160" w:line="256" w:lineRule="auto"/>
        <w:jc w:val="both"/>
        <w:rPr>
          <w:rFonts w:cstheme="minorHAnsi"/>
          <w:b/>
          <w:color w:val="663300"/>
          <w:sz w:val="28"/>
          <w:szCs w:val="28"/>
        </w:rPr>
      </w:pPr>
      <w:r w:rsidRPr="00B329DC">
        <w:rPr>
          <w:rFonts w:cstheme="minorHAnsi"/>
          <w:b/>
          <w:color w:val="663300"/>
          <w:sz w:val="28"/>
          <w:szCs w:val="28"/>
        </w:rPr>
        <w:t xml:space="preserve">1. Choroby metaboliczne wrodzone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Choroby metaboliczne wrodzone to uwarunkowane genetycznie wady metabolizmu białek, węglowodanów lub tłuszczów, w wyniku których dochodzi do nadmiaru lub niedoboru określonego związku chemicznego w organizmie co zaburza jego prawidłowe funkcjonowanie. Wybrane choroby metaboliczne wrodzone to: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alfamannozydoza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, CLN2, choroba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Fabry’ego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,</w:t>
      </w:r>
      <w:r w:rsidRPr="00B329DC">
        <w:rPr>
          <w:rFonts w:ascii="Calibri" w:eastAsia="Calibri" w:hAnsi="Calibri" w:cs="Times New Roman"/>
          <w:bCs/>
          <w:sz w:val="24"/>
        </w:rPr>
        <w:t xml:space="preserve">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Gauchera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,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mukopolisacharydozy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, mukowiscydoza,  choroba Niemanna Picka,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Pompego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czy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tyrozynemia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sz w:val="24"/>
        </w:rPr>
      </w:pPr>
    </w:p>
    <w:p w:rsidR="00B329DC" w:rsidRDefault="00B329DC" w:rsidP="00B07C58">
      <w:pPr>
        <w:spacing w:after="0" w:line="256" w:lineRule="auto"/>
        <w:jc w:val="both"/>
        <w:rPr>
          <w:rFonts w:cstheme="minorHAnsi"/>
          <w:b/>
          <w:color w:val="663300"/>
          <w:sz w:val="28"/>
          <w:szCs w:val="28"/>
        </w:rPr>
      </w:pPr>
      <w:r w:rsidRPr="00B329DC">
        <w:rPr>
          <w:rFonts w:cstheme="minorHAnsi"/>
          <w:b/>
          <w:color w:val="663300"/>
          <w:sz w:val="28"/>
          <w:szCs w:val="28"/>
        </w:rPr>
        <w:t>Rekomendowane działania systemowe w zakresie chorób metabolicznych wrodzonych w Polsce:</w:t>
      </w:r>
    </w:p>
    <w:p w:rsidR="00B07C58" w:rsidRPr="00B329DC" w:rsidRDefault="00B07C58" w:rsidP="00B07C58">
      <w:pPr>
        <w:spacing w:after="0" w:line="256" w:lineRule="auto"/>
        <w:jc w:val="both"/>
        <w:rPr>
          <w:rFonts w:cstheme="minorHAnsi"/>
          <w:b/>
          <w:color w:val="663300"/>
          <w:sz w:val="28"/>
          <w:szCs w:val="28"/>
        </w:rPr>
      </w:pP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Rada Ekspertów ds. Chorób Rzadkich Medycznej Racji Stanu opracowała w 2019 r. główne tezy przekazu do decydentów, środowiska medycznego i społeczeństwa, dotyczących problemów diagnostyki i terapii chorób rzadkich w Polsce. Z perspektywy systemu ochrony zdrowia choroby metaboliczne wrodzone, jako choroby rzadkie dotyczą niewielkiego odsetka populacji. Leczenie jest prowadzone w wysokospecjalistycznych ośrodkach klinicznych, a leki refundowane głównie w ramach programów lekowych Narodowego Funduszu Zdrowia.</w:t>
      </w:r>
    </w:p>
    <w:p w:rsidR="00B329DC" w:rsidRPr="00B07C58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W tym roku zapadł</w:t>
      </w:r>
      <w:r w:rsidR="00B07C58">
        <w:rPr>
          <w:rFonts w:ascii="Calibri" w:eastAsia="Calibri" w:hAnsi="Calibri" w:cs="Times New Roman"/>
          <w:bCs/>
          <w:color w:val="663300"/>
          <w:sz w:val="24"/>
        </w:rPr>
        <w:t>a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,  długo oczekiwana, decyzja o  finansowaniu ze środków publicznych terapii skutecznych w </w:t>
      </w:r>
      <w:r w:rsidRPr="00B07C58">
        <w:rPr>
          <w:rFonts w:ascii="Calibri" w:eastAsia="Calibri" w:hAnsi="Calibri" w:cs="Times New Roman"/>
          <w:b/>
          <w:bCs/>
          <w:color w:val="663300"/>
          <w:sz w:val="24"/>
        </w:rPr>
        <w:t xml:space="preserve">chorobie </w:t>
      </w:r>
      <w:proofErr w:type="spellStart"/>
      <w:r w:rsidRPr="00B07C58">
        <w:rPr>
          <w:rFonts w:ascii="Calibri" w:eastAsia="Calibri" w:hAnsi="Calibri" w:cs="Times New Roman"/>
          <w:b/>
          <w:bCs/>
          <w:color w:val="663300"/>
          <w:sz w:val="24"/>
        </w:rPr>
        <w:t>Fabry’ego</w:t>
      </w:r>
      <w:proofErr w:type="spellEnd"/>
      <w:r w:rsidRPr="00B07C58">
        <w:rPr>
          <w:rFonts w:ascii="Calibri" w:eastAsia="Calibri" w:hAnsi="Calibri" w:cs="Times New Roman"/>
          <w:bCs/>
          <w:color w:val="663300"/>
          <w:sz w:val="24"/>
        </w:rPr>
        <w:t>.</w:t>
      </w:r>
    </w:p>
    <w:p w:rsidR="00B329DC" w:rsidRPr="00B07C58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Na dostęp do nowoczesnego leczenia czekają chorzy z:</w:t>
      </w:r>
      <w:r w:rsidRPr="00B07C58">
        <w:rPr>
          <w:rFonts w:ascii="Calibri" w:eastAsia="Calibri" w:hAnsi="Calibri" w:cs="Times New Roman"/>
          <w:bCs/>
          <w:color w:val="663300"/>
          <w:sz w:val="24"/>
        </w:rPr>
        <w:t xml:space="preserve"> </w:t>
      </w:r>
      <w:proofErr w:type="spellStart"/>
      <w:r w:rsidRPr="00B07C58">
        <w:rPr>
          <w:rFonts w:ascii="Calibri" w:eastAsia="Calibri" w:hAnsi="Calibri" w:cs="Times New Roman"/>
          <w:b/>
          <w:bCs/>
          <w:color w:val="663300"/>
          <w:sz w:val="24"/>
        </w:rPr>
        <w:t>alfamannozydozą</w:t>
      </w:r>
      <w:proofErr w:type="spellEnd"/>
      <w:r w:rsidRPr="00B07C58">
        <w:rPr>
          <w:rFonts w:ascii="Calibri" w:eastAsia="Calibri" w:hAnsi="Calibri" w:cs="Times New Roman"/>
          <w:b/>
          <w:bCs/>
          <w:color w:val="663300"/>
          <w:sz w:val="24"/>
        </w:rPr>
        <w:t xml:space="preserve">, CLN2, chorobą </w:t>
      </w:r>
      <w:proofErr w:type="spellStart"/>
      <w:r w:rsidRPr="00B07C58">
        <w:rPr>
          <w:rFonts w:ascii="Calibri" w:eastAsia="Calibri" w:hAnsi="Calibri" w:cs="Times New Roman"/>
          <w:b/>
          <w:bCs/>
          <w:color w:val="663300"/>
          <w:sz w:val="24"/>
        </w:rPr>
        <w:t>Duchenne’a</w:t>
      </w:r>
      <w:proofErr w:type="spellEnd"/>
      <w:r w:rsidRPr="00B07C58">
        <w:rPr>
          <w:rFonts w:ascii="Calibri" w:eastAsia="Calibri" w:hAnsi="Calibri" w:cs="Times New Roman"/>
          <w:b/>
          <w:bCs/>
          <w:color w:val="663300"/>
          <w:sz w:val="24"/>
        </w:rPr>
        <w:t xml:space="preserve">, </w:t>
      </w:r>
      <w:proofErr w:type="spellStart"/>
      <w:r w:rsidRPr="00B07C58">
        <w:rPr>
          <w:rFonts w:ascii="Calibri" w:eastAsia="Calibri" w:hAnsi="Calibri" w:cs="Times New Roman"/>
          <w:b/>
          <w:bCs/>
          <w:color w:val="663300"/>
          <w:sz w:val="24"/>
        </w:rPr>
        <w:t>mukopolisacharydozą</w:t>
      </w:r>
      <w:proofErr w:type="spellEnd"/>
      <w:r w:rsidRPr="00B07C58">
        <w:rPr>
          <w:rFonts w:ascii="Calibri" w:eastAsia="Calibri" w:hAnsi="Calibri" w:cs="Times New Roman"/>
          <w:b/>
          <w:bCs/>
          <w:color w:val="663300"/>
          <w:sz w:val="24"/>
        </w:rPr>
        <w:t xml:space="preserve"> typu IV i mukowiscydozą</w:t>
      </w:r>
      <w:r w:rsidRPr="00B07C58">
        <w:rPr>
          <w:rFonts w:ascii="Calibri" w:eastAsia="Calibri" w:hAnsi="Calibri" w:cs="Times New Roman"/>
          <w:bCs/>
          <w:color w:val="663300"/>
          <w:sz w:val="24"/>
        </w:rPr>
        <w:t xml:space="preserve">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Projekt Narodowego Planu dla Chorób Rzadkich przewiduje utworzenie ok. 50 krajowych ośrodków referencyjnych, określonych dla wybranej choroby rzadkiej lub grupy takich chorób, które będą pełnić kluczową rolę w integracji opieki, a także współpracujących z nimi centrów eksperckich. Ponadto mają powstać rejestry medyczne poszczególnych chorób rzadkich - w tym chorób metabolicznych.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B329DC" w:rsidRPr="00B329DC" w:rsidRDefault="00B329DC" w:rsidP="00B329DC">
      <w:pPr>
        <w:spacing w:after="160" w:line="256" w:lineRule="auto"/>
        <w:jc w:val="both"/>
        <w:rPr>
          <w:rFonts w:cstheme="minorHAnsi"/>
          <w:b/>
          <w:color w:val="663300"/>
          <w:sz w:val="28"/>
          <w:szCs w:val="28"/>
        </w:rPr>
      </w:pPr>
      <w:r w:rsidRPr="00B329DC">
        <w:rPr>
          <w:rFonts w:cstheme="minorHAnsi"/>
          <w:b/>
          <w:color w:val="663300"/>
          <w:sz w:val="28"/>
          <w:szCs w:val="28"/>
        </w:rPr>
        <w:t xml:space="preserve">2. Choroby metaboliczne nabyte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Choroby metaboliczne nabyte to przede wszystkim: cukrzyca typu 2, otyłość,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dyslipidemie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oraz osteoporoza. Stanowią one olbrzymie wyzwanie z perspektywy zdrowia publicznego, polityki zdrowotnej i zasobów systemu ochrony zdrowia. Z powodu liczby zgonów i powikłań oraz wzrostu zapadalności należą do priorytetów zdrowotnych w Polsce. Choroby metaboliczne nabyte odpowiadają za rosnące koszty bezpośrednie medyczne oraz koszty pośrednie wynikające z utraty produktywności.</w:t>
      </w:r>
    </w:p>
    <w:p w:rsidR="00B329DC" w:rsidRDefault="00B329DC" w:rsidP="007171DA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Optymalizacja modelu opieki nad tą grupą chorych powinna polegać na dostępie do leczenia zgodnego ze standardami klinicznymi oraz działaniach profilaktycznych, modyfikacji stylu życia i konsekwentnej edukacji z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t>drowotnej od najmłodszych lat (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postulat ekspertów Medycznej Racji Stanu dotyczący wprowadzenia do szkół Godziny dla Zdrowia).</w:t>
      </w:r>
    </w:p>
    <w:p w:rsidR="007171DA" w:rsidRPr="00B329DC" w:rsidRDefault="007171DA" w:rsidP="007171DA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</w:p>
    <w:p w:rsidR="00B329DC" w:rsidRPr="00B329DC" w:rsidRDefault="00B329DC" w:rsidP="00B329DC">
      <w:pPr>
        <w:spacing w:after="12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Cukrzyca typu 2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Międzynarodowa federacja diabetologiczna i WHO  wskazują, że 422-425 mln osób na świecie choruje na cukrzycę (dane za rok 2016-2017). Wg. NFZ liczba dorosłych osób, którym udzielono świadczenia z rozpoznaniem cukrzycy (głównym lub współistniejącym) wyniosła 2,18 mln w 2018 r. W porównaniu do 2013 r. stanowi to wzrost o 14,2%. Recepty na leki stosowane w leczeniu cukrzycy lub paski do oznaczania glukozy we krwi zrealizowało w 2018 r. 2,85 mln osób.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lastRenderedPageBreak/>
        <w:t xml:space="preserve">NFZ raportuje ok. 300 tys. nowych </w:t>
      </w: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rozpoznań</w:t>
      </w:r>
      <w:proofErr w:type="spellEnd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cukrzycy rocznie oraz roczny wzrost zachorowalności na cukrzycę w 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t>naszym kraju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o ok. 4%. Wg. 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t>p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rognoz - za 10 lat może być ok. 5 mln chorych na cukrzycę w Polsce.</w:t>
      </w:r>
    </w:p>
    <w:p w:rsidR="00B329DC" w:rsidRPr="007171DA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Wg. danych WHO z 2018 r. cukrzyca znalazła się po raz pierwszy w rankingu 10 chorób prowadzących bezpośrednio do śmierci zajmując 7 miejsce -  1,6 mln zgonów, gdy jeszcze 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w 2000 r. cukrzyca odpowiadała za 1 mln. zgonów. Dane GUS dla Polski wykazały w 2016 r. aż 8 291 zgonów z powodu hipoglikemii oraz hiperglikemii </w:t>
      </w:r>
      <w:r w:rsidRPr="007171DA">
        <w:rPr>
          <w:rFonts w:ascii="Calibri" w:eastAsia="Calibri" w:hAnsi="Calibri" w:cs="Times New Roman"/>
          <w:bCs/>
          <w:color w:val="663300"/>
          <w:sz w:val="24"/>
        </w:rPr>
        <w:t xml:space="preserve">w przebiegu cukrzycy (ICD10: E10-E14).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Analizy WHO dla Polski szacują liczbę zgonów z powodu powikłań cukrzycy na minimum 30 tys. rocznie. Powikłania sercowo-naczyniowe stanowią 70% zgonów z powodu powikłań cukrzycy.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Wg. najnowszego raportu NFZ z 2019 r. osoby z cukrzycą stanowiły 30–40% pacjentów </w:t>
      </w:r>
      <w:r w:rsidR="00B07C5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z niewydolnością nerek, chorobą niedokrwienną serca czy udarem mózgu</w:t>
      </w:r>
      <w:r w:rsidRPr="00B329DC">
        <w:rPr>
          <w:rFonts w:ascii="Calibri" w:eastAsia="Calibri" w:hAnsi="Calibri" w:cs="Times New Roman"/>
          <w:bCs/>
          <w:sz w:val="24"/>
        </w:rPr>
        <w:t xml:space="preserve">. 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Liczba amputacji 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u dorosłych osób z cukrzycą wzrosła z 7,1 tys. w roku 2014 do 8,7 tys. w 2018 r. (wzrost o 23%). 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W przeliczeniu na 1 tys. osób realizujących recepty na leki stosowane w cukrzycy i paski do oznaczania glukozy, liczba amputacji pozostawała na zbliżonym poziomie w latach 2014–2018. </w:t>
      </w:r>
      <w:r w:rsidR="00B07C5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W roku poprzedzającym dużą amputację 37% pacjentów nie miało udzielonego żadnego świadczenia z powodu cukrzycy (wg rozpoznania głównego), a 77% pacjentów nie korzystało </w:t>
      </w:r>
      <w:r w:rsidR="00B07C5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z poradni diabetologicznej.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Łączna wartość refundacji świadczeń, wyrobów medycznych i leków stosowanych w  cukrzycy wyniosła w 2018 r. 1,9 mld zł (50% stanowiły koszty leków, 25% paski do oznaczania glukozy we krwi, 21% świadczenia udzielone z powodu cukrzycy inne niż pompy insulinowe, 4% pompy insulinowe i system ciągłego monitorowania glikemii 4%). Była to wartość o 23% wyższa niż </w:t>
      </w:r>
      <w:r w:rsidR="00B07C5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w 2013 roku. Dopłata pacjentów wyniosła w 2018 r. 0,45 mld zł i była o 35% wyższa niż w 2013 r.  Średnia wartość refundacji na pacjenta wyniosła w 2018 r. 507 zł (spadek o 6 zł w porównaniu do 2013 r.) a wartość dopłaty pacjenta 155 zł (spadek o 46 zł w porównaniu do 2013 r.). Według badań organizacji pacjenckich (Polskie Stowarzyszenie Diabetyków, Fundacja Urszuli Jaworskiej), co drugi chorujący na cukrzycę deklaruje ponoszenie znacznych wydatków miesięcznie (porady lekarskie i leki), co pogłębia nierówności społeczne i ograniczenia w dostępie do świadczeń zdrowotnych.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2019 r. był przełomowy z zakresie poprawy dostępu chorych na cukrzycę do nowych technologii medycznych. Od 1 maj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t>a 2019 r. zrefundowano insulinę ultra-długo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działającą </w:t>
      </w: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degludec</w:t>
      </w:r>
      <w:proofErr w:type="spellEnd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. Od października 2019 r. podjęto decyzję o refundacji systemu monitorowania glikemii Freestyle </w:t>
      </w: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Libre</w:t>
      </w:r>
      <w:proofErr w:type="spellEnd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dla chorych z cukrzycą typu 1 do 18 r.ż. Od 1 listopada 2019 r. chorzy na cukrzycę typu 2 otrzymali refundację </w:t>
      </w: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flozyn</w:t>
      </w:r>
      <w:proofErr w:type="spellEnd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: </w:t>
      </w: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dapagliflozyna</w:t>
      </w:r>
      <w:proofErr w:type="spellEnd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, </w:t>
      </w: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empagliflozyna</w:t>
      </w:r>
      <w:proofErr w:type="spellEnd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oraz </w:t>
      </w: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kanagliflozyna</w:t>
      </w:r>
      <w:proofErr w:type="spellEnd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W 2016 r.</w:t>
      </w:r>
      <w:r w:rsidRPr="00B329DC">
        <w:rPr>
          <w:rFonts w:ascii="Calibri" w:eastAsia="Calibri" w:hAnsi="Calibri" w:cs="Times New Roman"/>
          <w:b/>
          <w:bCs/>
          <w:sz w:val="24"/>
        </w:rPr>
        <w:t xml:space="preserve"> 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ZUS wydał</w:t>
      </w:r>
      <w:r w:rsidRPr="00B329DC">
        <w:rPr>
          <w:rFonts w:ascii="Calibri" w:eastAsia="Calibri" w:hAnsi="Calibri" w:cs="Times New Roman"/>
          <w:bCs/>
          <w:sz w:val="24"/>
        </w:rPr>
        <w:t xml:space="preserve"> 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tytułem niezdolności</w:t>
      </w:r>
      <w:r w:rsidRPr="00B329DC">
        <w:rPr>
          <w:rFonts w:ascii="Calibri" w:eastAsia="Calibri" w:hAnsi="Calibri" w:cs="Times New Roman"/>
          <w:bCs/>
          <w:sz w:val="24"/>
        </w:rPr>
        <w:t xml:space="preserve"> 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do pracy z powodu cukrzycy 120 mln zł, z czego 80 mln zł wyniosły wydatki na renty – a więc trwałą niezdolność do pracy</w:t>
      </w:r>
      <w:r w:rsidRPr="00B07C58">
        <w:rPr>
          <w:rFonts w:ascii="Calibri" w:eastAsia="Calibri" w:hAnsi="Calibri" w:cs="Times New Roman"/>
          <w:bCs/>
          <w:color w:val="663300"/>
          <w:sz w:val="24"/>
        </w:rPr>
        <w:t>. Wg. badania Fundacji</w:t>
      </w:r>
      <w:r w:rsidRPr="00B329DC">
        <w:rPr>
          <w:rFonts w:ascii="Calibri" w:eastAsia="Calibri" w:hAnsi="Calibri" w:cs="Times New Roman"/>
          <w:bCs/>
          <w:sz w:val="24"/>
        </w:rPr>
        <w:t xml:space="preserve"> 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Urszuli Jaworskiej z 2019 r. aż 38% chorych na cukrzycę typu 2 posiada lekki lub umiarkowany stopień niepełnosprawności, a w przyszłości aż 19% chorych na cukrzycę typu 2 zgłasza zamiar ubiegania się o orzeczenie o stopniu niepełnosprawności.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Konsekwencje nieoptymalnego leczenia cukrzycy w Polsce mają oprócz konsekwencji klinicznych poważny wymiar finansowy w zakresie kosztów pośrednich wynikających z utraty produktywności. 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Całkowite koszty społeczne cukrzycy w Polsce przekroczyły 7 mld zł w 2013 r., 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lastRenderedPageBreak/>
        <w:t>a według prognoz, do 2030 r. wzrosną dwukrotnie i wyniosą blisko 14 mld zł. Znaczącą część tych kosztów stanowiły koszty utraty produktywności wynikające z przedwczesnych zgonów.</w:t>
      </w:r>
      <w:r w:rsidRPr="00B329DC">
        <w:rPr>
          <w:rFonts w:ascii="Calibri" w:eastAsia="Calibri" w:hAnsi="Calibri" w:cs="Times New Roman"/>
          <w:bCs/>
          <w:sz w:val="24"/>
        </w:rPr>
        <w:t xml:space="preserve">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Koszty powikłań cukrzycy - głównie sercowo-naczyniowych przekraczają 50% łącznych kosztów związanych z chorobą.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Koszty pośrednie znacząco </w:t>
      </w:r>
      <w:r w:rsidR="00B07C58" w:rsidRPr="00B329DC">
        <w:rPr>
          <w:rFonts w:ascii="Calibri" w:eastAsia="Calibri" w:hAnsi="Calibri" w:cs="Times New Roman"/>
          <w:b/>
          <w:bCs/>
          <w:color w:val="663300"/>
          <w:sz w:val="24"/>
        </w:rPr>
        <w:t>więc</w:t>
      </w:r>
      <w:r w:rsidR="00B07C58"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przewyższają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t xml:space="preserve"> 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koszty bezpośrednie ponoszone przez płatnika publicznego związane z leczeniem cukrzycy zgodnym ze standardami klinicznymi.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Rekomendowane działania systemowe w zakresie cukrzycy w Polsce: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Cukrzyca znalazła się na liście krajowych priorytetów zdrowotnych określonych rozporządzeniem Ministra Zdrowia z 27 lutego 2018 r.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t>,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jako jedna z głównych przyczyn zgonów Polaków (obok chorób sercowo-naczyniowych, nowotworów i chorób układu oddechowego).</w:t>
      </w:r>
      <w:r w:rsidRPr="00B329DC">
        <w:rPr>
          <w:rFonts w:ascii="Calibri" w:eastAsia="Calibri" w:hAnsi="Calibri" w:cs="Times New Roman"/>
          <w:bCs/>
          <w:sz w:val="24"/>
        </w:rPr>
        <w:t xml:space="preserve"> 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Wg. Polskiego Towarzystwa Diabetologicznego w Polsce konieczne są konkretne działania rządu, zmierzające do poprawy dostępu chorych na cukrzycę do leczenia zgodnego z „Zaleceniami klinicznymi dotyczącymi postępowania u chorych na cukrzycę 2019”. Zastosowanie optymalnego leczenia u pacjentów z cukrzycą przyniesie wymierną wartość, bowiem koszty leczenia powikłań (sercowo-naczyniowych, stopy cukrzycowej) są wielokrotnie wyższe niż leczenie cukrzycy zgodne ze standardami klinicznymi. Równolegle należy opracowywać i wdrażać kompleksowy </w:t>
      </w:r>
      <w:r w:rsidR="00B07C58">
        <w:rPr>
          <w:rFonts w:ascii="Calibri" w:eastAsia="Calibri" w:hAnsi="Calibri" w:cs="Times New Roman"/>
          <w:bCs/>
          <w:color w:val="663300"/>
          <w:sz w:val="24"/>
        </w:rPr>
        <w:br/>
        <w:t xml:space="preserve">i 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efektywny model opieki nad chorymi na cukrzycę oparty na działaniach edukacyjnych, profilaktycznych, skutecznej diagnostyce i terapii oraz 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zaangażowaniu i współodpowiedzialności pacjenta za proces leczenia.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Polskie Stowarzyszenie Diabetyków oczekuje na: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- refundację analogów GLP1, które nie tylko znacząco zmniejszają ryzyko sercowo-naczyniowe, a także otyłość u pacjentów z cukrzycą typu 2.,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- zniesienie obostrzeń w refundacji długo działających analogów insulin dla osób z cukrzycą typu 2,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- rozszerzenia refundacji systemu monitorowania stężenia glukozy (Flash </w:t>
      </w: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Glucose</w:t>
      </w:r>
      <w:proofErr w:type="spellEnd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Monitoring, FGM), który jest już refundowany dla pacjentów w wieku 4-18 lat, aby został rozszerzony na wszystkie osoby z cukrzycą typu 1. </w:t>
      </w:r>
    </w:p>
    <w:p w:rsid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- refundację pomp insulinowych powyżej 26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t xml:space="preserve">-tego 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roku życia. </w:t>
      </w:r>
    </w:p>
    <w:p w:rsidR="001C751F" w:rsidRPr="00B329DC" w:rsidRDefault="001C751F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</w:p>
    <w:p w:rsidR="00B329DC" w:rsidRPr="00B329DC" w:rsidRDefault="00B07C58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>
        <w:rPr>
          <w:rFonts w:ascii="Calibri" w:eastAsia="Calibri" w:hAnsi="Calibri" w:cs="Times New Roman"/>
          <w:bCs/>
          <w:color w:val="663300"/>
          <w:sz w:val="24"/>
        </w:rPr>
        <w:t>Według</w:t>
      </w:r>
      <w:r w:rsidR="00B329DC" w:rsidRPr="00B329DC">
        <w:rPr>
          <w:rFonts w:ascii="Calibri" w:eastAsia="Calibri" w:hAnsi="Calibri" w:cs="Times New Roman"/>
          <w:bCs/>
          <w:color w:val="663300"/>
          <w:sz w:val="24"/>
        </w:rPr>
        <w:t xml:space="preserve"> badania Fundacji Urszuli Jaworskiej z 2019 r. istnieje pilna potrzeba koordynacji </w:t>
      </w:r>
      <w:r>
        <w:rPr>
          <w:rFonts w:ascii="Calibri" w:eastAsia="Calibri" w:hAnsi="Calibri" w:cs="Times New Roman"/>
          <w:bCs/>
          <w:color w:val="663300"/>
          <w:sz w:val="24"/>
        </w:rPr>
        <w:br/>
      </w:r>
      <w:r w:rsidR="00B329DC" w:rsidRPr="00B329DC">
        <w:rPr>
          <w:rFonts w:ascii="Calibri" w:eastAsia="Calibri" w:hAnsi="Calibri" w:cs="Times New Roman"/>
          <w:bCs/>
          <w:color w:val="663300"/>
          <w:sz w:val="24"/>
        </w:rPr>
        <w:t xml:space="preserve">i kompleksowości opieki diabetologicznej w Polsce. Koordynacji, która powinna być prowadzona przez zespół POZ w konsultacji z diabetologiem oraz lekarzami innych specjalności. Kompleksowość opieki to przede wszystkim potrzeba edukacji chorego i jego rodziny, przekazanie wiedzy na temat żywienia, aktywności fizycznej oraz znaczenia stosowania się do zaleceń lekarza, pielęgniarki, dietetyczki i edukatora. Leczenie powinno być oparte o aktualne zalecenia kliniczne PTD, z dostępem do diagnostyki i leków w nich zawartych. W optymalizacji opieki diabetologicznej nad pacjentami w Polsce powinny być wykorzystanie nowe narzędzia </w:t>
      </w:r>
      <w:r>
        <w:rPr>
          <w:rFonts w:ascii="Calibri" w:eastAsia="Calibri" w:hAnsi="Calibri" w:cs="Times New Roman"/>
          <w:bCs/>
          <w:color w:val="663300"/>
          <w:sz w:val="24"/>
        </w:rPr>
        <w:br/>
      </w:r>
      <w:r w:rsidR="00B329DC" w:rsidRPr="00B329DC">
        <w:rPr>
          <w:rFonts w:ascii="Calibri" w:eastAsia="Calibri" w:hAnsi="Calibri" w:cs="Times New Roman"/>
          <w:bCs/>
          <w:color w:val="663300"/>
          <w:sz w:val="24"/>
        </w:rPr>
        <w:t xml:space="preserve">e-zdrowia, takie jak telemedycyna, aplikacje mobilne oraz praca na elektronicznej dokumentacji pacjenta przez wszystkich biorących udział w procesie jego leczenia.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lastRenderedPageBreak/>
        <w:t xml:space="preserve">W listopadzie 2019 r. NFZ zainicjował prace nad opracowaniem modelu koordynowanej </w:t>
      </w:r>
      <w:r w:rsidR="00B07C58">
        <w:rPr>
          <w:rFonts w:ascii="Calibri" w:eastAsia="Calibri" w:hAnsi="Calibri" w:cs="Times New Roman"/>
          <w:b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i kompleksowej opieki nad chorym na cukrzycę w Polsce.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„Jeśli nie zaczniemy się profilaktyką cukrzycy, a tylko finansowaniem leczenia zachorowań to nawet 6 proc. PKB sobie z tym nie poradzi. Świadoma polityka finansowa winna przewidywać inwestycję w zdrowie, a nie tylko w interwencję - Prezes NFZ Dr Adam Niedzielski.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„Bardzo ważne jest, żeby zarówno pacjenci, jak i ich rodziny edukowały się w zakr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esie cukrzycy” – Anna Śliwińska, Prezes</w:t>
      </w: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 xml:space="preserve"> </w:t>
      </w:r>
      <w:r w:rsidR="00717D3A" w:rsidRPr="00717D3A">
        <w:rPr>
          <w:rFonts w:ascii="Calibri" w:eastAsia="Calibri" w:hAnsi="Calibri" w:cs="Times New Roman"/>
          <w:bCs/>
          <w:i/>
          <w:color w:val="663300"/>
          <w:sz w:val="24"/>
        </w:rPr>
        <w:t>Polskie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go</w:t>
      </w:r>
      <w:r w:rsidR="00717D3A" w:rsidRPr="00717D3A">
        <w:rPr>
          <w:rFonts w:ascii="Calibri" w:eastAsia="Calibri" w:hAnsi="Calibri" w:cs="Times New Roman"/>
          <w:bCs/>
          <w:i/>
          <w:color w:val="663300"/>
          <w:sz w:val="24"/>
        </w:rPr>
        <w:t xml:space="preserve"> Stowarzyszeni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a</w:t>
      </w:r>
      <w:r w:rsidR="00717D3A" w:rsidRPr="00717D3A">
        <w:rPr>
          <w:rFonts w:ascii="Calibri" w:eastAsia="Calibri" w:hAnsi="Calibri" w:cs="Times New Roman"/>
          <w:bCs/>
          <w:i/>
          <w:color w:val="663300"/>
          <w:sz w:val="24"/>
        </w:rPr>
        <w:t xml:space="preserve"> Diabetyków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„Dzięki odpowiedniej wiedzy ludzie mogliby się obronić przed cukrzycą” – Poseł Tomasz Latos, Przewodniczący Sejmowej Komisji Zdrowia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.</w:t>
      </w: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 xml:space="preserve">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„Pod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stawowym lekarzem dla pacjenta z</w:t>
      </w: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 xml:space="preserve"> cukrzycą powinien być jednak lekarz rodzinny, 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z wyjątkiem sytuacji kiedy jest to cukrzyca typu 1.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 xml:space="preserve"> </w:t>
      </w: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lub rozpoznanie dotyczy kobiety ciężarnej – wtedy z pewnością powinien być to diabetolog” – Dr Michał Sutkowski, Kolegium Lekarzy Rodzinnych w Polsce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„Głównym specjalistą w leczeniu cukrzycy jest pacjent. Pacjent musi wiedzieć, że to od niego bardzo wiele zależy. Dotyczy to  osób, które z cukrzycą się już zmagają, jak i tych które znajdują się w grupie ryzyka. Brak ruchu, zła dieta, nadwaga i otyłość – to praca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,</w:t>
      </w: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 xml:space="preserve"> którą wykonują Polacy zwiększając ryzyko z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achorowalności” - Wiceminister z</w:t>
      </w: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drowia Maciej Miłkowski.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„Edukacja jest bezcenna. Należy sprawić by była ona świadczeniem gwarantowanym” - Prof. Dorota Zozulińska-Ziółkiewicz, Prezes Polskiego Towarzystwa Diabetologicznego.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„Cukrzyca w coraz większym stopniu wymaga interdyscyplinarności” - Prof. Leszek Czupryniak, Diabetolog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„Profilaktyka i leczenie cukrzycy powinny być priorytetem w polityce zdrowotnej państwa”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 xml:space="preserve"> </w:t>
      </w: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 xml:space="preserve">- 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i/>
          <w:color w:val="663300"/>
          <w:sz w:val="24"/>
        </w:rPr>
        <w:t>Dr Jakub Gierczyński, Ekspert systemu ochrony zdrowia</w:t>
      </w:r>
      <w:r w:rsidR="00717D3A">
        <w:rPr>
          <w:rFonts w:ascii="Calibri" w:eastAsia="Calibri" w:hAnsi="Calibri" w:cs="Times New Roman"/>
          <w:bCs/>
          <w:i/>
          <w:color w:val="663300"/>
          <w:sz w:val="24"/>
        </w:rPr>
        <w:t>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Zespół metaboliczny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Zespół metaboliczny nie stanowi odrębnej jednostki chorobowej – jest to zespół kilku czynników ryzyka chorób układu sercowo-naczyniowego i cukrzycy typu 2 [Cichocka,2013]. Zespół metaboliczny rozpoznaje się, gdy u danej osoby występują co najmniej trzy z: </w:t>
      </w:r>
      <w:r w:rsidRPr="00717D3A">
        <w:rPr>
          <w:rFonts w:ascii="Calibri" w:eastAsia="Calibri" w:hAnsi="Calibri" w:cs="Times New Roman"/>
          <w:b/>
          <w:bCs/>
          <w:color w:val="663300"/>
          <w:sz w:val="24"/>
        </w:rPr>
        <w:t>otyłość brzuszna,</w:t>
      </w: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 xml:space="preserve"> wzrost stężenia trójglicerydów we krwi, wzrost stężenia frakcji HDL cholesterolu we krwi, podwyższone ciśnienie tętnicze, cukrzyca typu 2.</w:t>
      </w:r>
    </w:p>
    <w:p w:rsidR="00B329DC" w:rsidRPr="00B329DC" w:rsidRDefault="00717D3A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>
        <w:rPr>
          <w:rFonts w:ascii="Calibri" w:eastAsia="Calibri" w:hAnsi="Calibri" w:cs="Times New Roman"/>
          <w:bCs/>
          <w:i/>
          <w:color w:val="663300"/>
          <w:sz w:val="24"/>
        </w:rPr>
        <w:t>„Nadciśnienie tętnicze</w:t>
      </w:r>
      <w:r w:rsidR="00B329DC" w:rsidRPr="00B329DC">
        <w:rPr>
          <w:rFonts w:ascii="Calibri" w:eastAsia="Calibri" w:hAnsi="Calibri" w:cs="Times New Roman"/>
          <w:bCs/>
          <w:i/>
          <w:color w:val="663300"/>
          <w:sz w:val="24"/>
        </w:rPr>
        <w:t xml:space="preserve"> to cichy zabójca i poważny problem społeczny” - Prof. Zbigniew </w:t>
      </w:r>
      <w:proofErr w:type="spellStart"/>
      <w:r w:rsidR="00B329DC" w:rsidRPr="00B329DC">
        <w:rPr>
          <w:rFonts w:ascii="Calibri" w:eastAsia="Calibri" w:hAnsi="Calibri" w:cs="Times New Roman"/>
          <w:bCs/>
          <w:i/>
          <w:color w:val="663300"/>
          <w:sz w:val="24"/>
        </w:rPr>
        <w:t>Gaciong</w:t>
      </w:r>
      <w:proofErr w:type="spellEnd"/>
      <w:r w:rsidR="00B329DC" w:rsidRPr="00B329DC">
        <w:rPr>
          <w:rFonts w:ascii="Calibri" w:eastAsia="Calibri" w:hAnsi="Calibri" w:cs="Times New Roman"/>
          <w:bCs/>
          <w:i/>
          <w:color w:val="663300"/>
          <w:sz w:val="24"/>
        </w:rPr>
        <w:t>, Kardiolog</w:t>
      </w:r>
      <w:r>
        <w:rPr>
          <w:rFonts w:ascii="Calibri" w:eastAsia="Calibri" w:hAnsi="Calibri" w:cs="Times New Roman"/>
          <w:bCs/>
          <w:i/>
          <w:color w:val="663300"/>
          <w:sz w:val="24"/>
        </w:rPr>
        <w:t>.</w:t>
      </w:r>
      <w:r w:rsidR="00B329DC" w:rsidRPr="00B329DC">
        <w:rPr>
          <w:rFonts w:ascii="Calibri" w:eastAsia="Calibri" w:hAnsi="Calibri" w:cs="Times New Roman"/>
          <w:bCs/>
          <w:i/>
          <w:color w:val="663300"/>
          <w:sz w:val="24"/>
        </w:rPr>
        <w:t xml:space="preserve">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i/>
          <w:sz w:val="24"/>
        </w:rPr>
      </w:pP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Otyłość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Wg. WHO, w 2016 r. na całym świecie 39% populacji dorosłej i 18% dzieci w wieku 5-19 lat miało nadwagę, a 13% populacji dorosłych i 7% dzieci w wieku 5-19 lat było otyłych [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Obesity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and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overweight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.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Key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facts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. WHO, 2018].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lastRenderedPageBreak/>
        <w:t>W Polsce nadwaga dotyczy 43,4% mężczyzn i 31% kobiet, a otyłość - 25,4% mężczyzn i 25,7% kobiet. Polska wśród krajów Unii Europejskiej zajmuje 13 miejsce w kategorii mężczyzn i 12 miejsce wśród kobiet. Nadwaga i otyłość odpowiada w Polsce za 11,3% wszystkich lat skorygowanych o niepełnosprawność  (DALY) - wśród mężczyzn za 11,1%, zaś kobiet – 11,7%. [Wojtyniak, NIZP-PZH, 2018].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W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>edług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raportu NFZ p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>t. „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Cukier, otyłość – konsekwencje” z 2019 r. dziesiątki tysięcy zgonów rocznie powodują choroby, które wiążą się z otyłością, a więc także ze spożyciem cukru. Samo tylko spożycie napojów słodzonych cukrem przedwcześnie odbiera życie około 1 400 Polakom rocznie, a każdy z nich traci przeciętnie 15 lat życia. Jeżeli sprawdzą się prognozy wzrostu otyłości to w 2025 roku na leczenie chorób związanych z otyłością NFZ wyda więcej o 0,3 – 1,0 mld zł niż w 2017 r. W przypadku, gdy utrzymają się obecne trendy, przy niezmienionych pozostałych czynnikach, należy oczekiwać w 2025 r. o 437 – 941 tys. więcej pacjentów z cukrzycą niż w 2017 r. Wiąże się to ze wzrostem kosztów świadczeń o 219 – 661 mln zł. Drugą jednostką chorobową 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o najwyższym oczekiwanym wzroście liczby pacjentów jest nadciśnienie (wzrost o 164 – 436 tys.). Biorąc pod uwagę koszty udzielania świadczeń drugą jest choroba zwyrodnieniowa kolan (wzrost kosztów udzielenia świadczeń o 71 – 262 mln zł). Sumarycznie, dla problemów zdrowotnych wybranych do analizy, szacowany wzrost kosztów w 2025 r. w porównaniu do 2017 r. wynosi 513 – 1 224 mln zł.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Obywatele Polski z powodu chorób związanych z nadwagą i otyłością (głównie cukrzycy oraz schorzeń sercowo-naczyniowych 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>i nowotworów) będą żyć średnio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o 3 lata i 10 miesięcy krócej.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Otyłość odpowiada za 70% kosztów leczenia cukrzycy,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 xml:space="preserve"> 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23% kosztów leczenia chorób sercowo-naczyniowych i 9% kosztów leczenia raka. Koszty leczenia otyłości i chorób z nią związanych stanowiła w badanych krajach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>,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aż 8,4 proc. wydatków służby zdrowia, czyli średnio 211 dol. na mieszkańca rocznie. Każdy z 16,5 mln pracujących Polaków płaci obecnie za leczenie otyłości oraz chorób będącymi konsekwencjami nadwagi i otyłości 182 zł rocznie. W najbliższych 30 latach Polska straci na nadwadze i otyłości oraz na chorobach wywołanych nadwagą i otyłością ok. 4,1% PKB, czyli 0,14% PKB rocznie. [The Heavy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Burden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of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Obesity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. The Economics of Prevention. OECD, 2019].</w:t>
      </w:r>
    </w:p>
    <w:p w:rsidR="007171DA" w:rsidRDefault="007171DA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</w:p>
    <w:p w:rsidR="00B329DC" w:rsidRPr="007171DA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7171DA">
        <w:rPr>
          <w:rFonts w:ascii="Calibri" w:eastAsia="Calibri" w:hAnsi="Calibri" w:cs="Times New Roman"/>
          <w:b/>
          <w:bCs/>
          <w:color w:val="663300"/>
          <w:sz w:val="24"/>
        </w:rPr>
        <w:t>Rekomendowane działania systemowe w zakresie przeciwdziałania otyłości w Polsce: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Należy wdrożyć działania prewencyjne oraz skuteczne leczenie nadwagi i otyłości oraz chorób 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z nimi związanych w Polsce. Rekomendowane są działania, które można podjąć na szczeblu lokalnym, regionalnym, krajowym i europejskim w celu zmniejszenia ryzyka związanego ze złym odżywianiem i ograniczonym wysiłkiem fizycznym, jednocześnie rozwiązując problem nierówności między państwami członkowskimi. Aby poradzić sobie z rosnącą epidemią otyłości kraje muszą wdrożyć kompleksowe pakiety działań w zakresie zapobiegania nadwadze i otyłości. Proponowane przez OECD rozwiązania to m.in.  systemy etykietowania żywności, kampanie 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w środkach masowego przekazu, regulacja reklamy niezdrowej żywności, podatki od niezdrowej żywności- m.in. podatek cukrowy oraz dostęp do skutecznych metod leczenia cukrzycy i otyłości (nowoczesne terapie i chirurgia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bariatryczna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).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„Otyłość to problem wykraczający daleko poza medycynę”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 xml:space="preserve"> 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- 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 xml:space="preserve"> 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Prof. Leszek Czupryniak, Diabetolog.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lastRenderedPageBreak/>
        <w:t xml:space="preserve">„Mamy przed sobą ogromne wyzwanie związane z nadwagą i otyłością u dzieci i młodzieży – 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Dr Grzegorz Juszczyk, dyrektor NIZP-PZH i Instytutu Żywności i Żywienia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>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„Otyłość - potrzeba ogólnokrajowego programu, edukacji zdrowotnej oraz dobrze prowadzonej profilaktyki” – Senator Beata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Małecka-Libera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, przewodnicząca Senackiej Komisji Zdrowia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>.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„Nadwaga i otyłość to narastający problem. Konieczne jest podjęcie dyskusji na temat wprowadzenia przepisów zmierzających do ograniczenia spożycia wysokosłodzonych produktów – Prof. Jarosław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Pinkas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, Główny Inspektor Sanitarny.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„Opracujmy standardy leczenia chorych z otyłością olb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>rzymią” -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Prof. Mariusz Wyleżoł, Chirurg bariatra.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„Niezbędne jest, postulowane przez wszystkich ekspertów Medycznej Racji Stanu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>, jak najszybsze wprowadzenie „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Godziny dla Zdrowia” do programów szkół oraz rozpoczęcie tego typu edukacji przez zabawę w prze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t>dszkolach – D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r Michał Sutkowski rzecznik Kolegium Lekarzy Rodzinnych 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w Polsce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Dyslipidemia</w:t>
      </w:r>
      <w:proofErr w:type="spellEnd"/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proofErr w:type="spellStart"/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Dyslipidemia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to stan, w którym stężenia lipidów i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lipoprotein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w osoczu nie odpowiadają wartościom uznanym za pożądane. W praktyce klinicznej wyróżnia się hipercholesterolemię,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dyslipidemię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aterogenną i ciężką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hipertriglicerydemię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[Cybulska, 2019]. Wg. badania WOBASZ częstość współistnienia zaburzeń lipidowych i nadciśnienia tętniczego wynosi dla całej populacji Polski 32% - 34% mężczyzn i 31% kobiet. Wysoce niezadowalający odsetek osób z dobrą kontrolą zarówno ciśnienia tętniczego, jak i stężenia cholesterolu LDL wymaga dalszych działań mających na celu poprawę obecnego stanu. Wg. europejskich wytycznych dotyczących postępowania </w:t>
      </w:r>
      <w:r w:rsidR="00A9739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z chorymi z zaburzeniami lipidowymi w grupach wysokiego i bardzo wysokiego ryzyka sercowo-naczyniowego należy nie tylko uzyskać wartości docelowe stężenia cholesterolu LDL, ale także obniżyć jego stężenie o 50 proc. w porównaniu z wartościami docelowymi. Obecnie algorytm postępowania zaleca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statynę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. W razie niepowodzenia dołączamy do niej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ezetymib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, a jeżeli nie osiąga się celu terapeutycznego, należy włączyć do leczenia inhibitor PCSK9. Do tej ostatniej grupy leków należą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alirokumab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i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ewolokumab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, refundowane w Polsce tylko dla nielicznej grupy chorych na hipercholesterolemię rodzinną, którzy zostali zakwalifikowani do programu lekowego. [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Mamcarz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, 2019]. W 2018 r. program „Leczenie hipercholesterolemii rodzinnej” został poszerzony o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alirokumab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, a od 1 listopada 2019 r. o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ewolokumab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, jako kolejny refundowany inhibitor PCSK9.</w:t>
      </w:r>
    </w:p>
    <w:p w:rsidR="00A97398" w:rsidRDefault="00A97398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</w:p>
    <w:p w:rsidR="00B329DC" w:rsidRPr="007171DA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7171DA">
        <w:rPr>
          <w:rFonts w:ascii="Calibri" w:eastAsia="Calibri" w:hAnsi="Calibri" w:cs="Times New Roman"/>
          <w:b/>
          <w:bCs/>
          <w:color w:val="663300"/>
          <w:sz w:val="24"/>
        </w:rPr>
        <w:t xml:space="preserve">Rekomendowane działania systemowe w zakresie </w:t>
      </w:r>
      <w:proofErr w:type="spellStart"/>
      <w:r w:rsidRPr="007171DA">
        <w:rPr>
          <w:rFonts w:ascii="Calibri" w:eastAsia="Calibri" w:hAnsi="Calibri" w:cs="Times New Roman"/>
          <w:b/>
          <w:bCs/>
          <w:color w:val="663300"/>
          <w:sz w:val="24"/>
        </w:rPr>
        <w:t>dyslipidemii</w:t>
      </w:r>
      <w:proofErr w:type="spellEnd"/>
      <w:r w:rsidRPr="007171DA">
        <w:rPr>
          <w:rFonts w:ascii="Calibri" w:eastAsia="Calibri" w:hAnsi="Calibri" w:cs="Times New Roman"/>
          <w:b/>
          <w:bCs/>
          <w:color w:val="663300"/>
          <w:sz w:val="24"/>
        </w:rPr>
        <w:t xml:space="preserve"> w Polsce: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Rekomendowane jest wdrożenie nowego programu lekowego dla pacjentów po zawale serca obarczonych dodatkowymi czynnikami ryzyka. Dziś możemy im zaproponować terapię skojarzoną - intensywne leczenie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statynami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i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ezetymibem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. Okazuje się jednak, że u większości tych pacjentów wciąż nie będziemy w stanie osiągnąć nowych celów terapeutycznych. Jedyną szansą dla tej grupy chorych najwyższego i ekstremalnego ryzyka stanowią inhibitory PCSK9 [Banach,2019].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lastRenderedPageBreak/>
        <w:t xml:space="preserve">„Obecnie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statyny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powinien stosować każdy pacjent z miażdżycą oraz większość chorych </w:t>
      </w:r>
      <w:r w:rsidR="001D4DE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z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hiperlipidemią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” -  Prof. Artur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Mamcarz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>, Kardiolog</w:t>
      </w:r>
      <w:r w:rsidR="001D4DE8">
        <w:rPr>
          <w:rFonts w:ascii="Calibri" w:eastAsia="Calibri" w:hAnsi="Calibri" w:cs="Times New Roman"/>
          <w:bCs/>
          <w:color w:val="663300"/>
          <w:sz w:val="24"/>
        </w:rPr>
        <w:t>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„Polacy wciąż lekceważą profilaktykę zawałów serca” – Prof. Maciej Banach, Kardiolog.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„Miażdżyca może się przedwcześnie rozwinąć nawet u ludzi młodych. Dotyczy to szczególnie osób z hipercholesterolemią rodzinną, wymagających intensywnego leczenia od najmłodszych lat.” – Prof. Mariusz Gąsior, Kardiolog</w:t>
      </w:r>
      <w:r w:rsidR="001D4DE8">
        <w:rPr>
          <w:rFonts w:ascii="Calibri" w:eastAsia="Calibri" w:hAnsi="Calibri" w:cs="Times New Roman"/>
          <w:bCs/>
          <w:color w:val="663300"/>
          <w:sz w:val="24"/>
        </w:rPr>
        <w:t>.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/>
          <w:bCs/>
          <w:color w:val="663300"/>
          <w:sz w:val="24"/>
        </w:rPr>
        <w:t>Osteoporoza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>Osteoporoza jest chorobą, która  na świecie dotyka ok. 22% kobiet oraz ok. 6% mężczyzn powyżej 50. roku życia. Szacowana liczba osób chorych na osteoporozę w Polsce w 2018 r., oparta na wskaźnikach epidemiologicznych, to 2,1 mln, z czego 1,7 mln to kobiety. Na podstawie danych NFZ oszacowano, że w 2018 r. chorobowość rejestrowana wyniosła ok. 555 tys. chorych na osteoporozę. W 2018 r. odnotowano 120 tys. złamań, które najczęściej przypisywane są osteoporozie. Wartość refundacji świadczeń z tego powodu wyniosła 476 mln zł, z czego 71%to środki przeznaczone na świadczenia z powodu złamań bliższego końca kości udowej (34,7 tys. złamań). W 2017 r. śmiertelność roczna po złamaniach bliższego końca kości udowej wyniosła 29,4%. Liczba utraconych lat życia, które można bezpośrednio przypisać tym złamaniom to 20 tys. Wartość refundacji świadczeń z powodu osteoporozy w 2018 roku wyniosła 42 mln zł dla 222 tys. pacjentów. W 2018 r. recepty na leki stosowane w leczeniu osteoporozy zrealizowało 133 tys. pacjentów, a wartość tych leków wyniosła 47,6 mln zł. Średnia wartość refundacji w przeliczeniu na pacjenta wyniosła 306 zł, zaś średnia wartość dopłat pacjenta - 53 zł [Raport NFZ, 2019].</w:t>
      </w:r>
    </w:p>
    <w:p w:rsidR="00B329DC" w:rsidRPr="00B329DC" w:rsidRDefault="00B329DC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Leczeniem farmakologicznym można w dużym stopniu (w około 50%) przeciwdziałać złamaniom. Leczenie musi być jednak kompleksowe, poza lekami jest to kinezyterapia, zalecenia dietetyczne, eliminacja używek (alkohol, papierosy), a także prewencja upadków i urazów wynikających np. </w:t>
      </w:r>
      <w:r w:rsidR="001D4DE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z wad wzroku, zaburzeń równowagi oraz innych chorób. [Głuszko, 2019]. W Polsce refundowane są preparaty do stosowania doustnego raz w tygodniu (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bisfosfoniany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). Od 1 listopada 2019 r.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denosumab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jest refundowany dla kobiet po 60 r.ż. z osteoporozą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pomenopauzalną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i mężczyzn </w:t>
      </w:r>
      <w:r w:rsidR="001D4DE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w wieku powyżej 60 lat, po niepowodzeniu leczenia doustnymi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bisfosfonianami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lub </w:t>
      </w:r>
      <w:r w:rsidR="001D4DE8">
        <w:rPr>
          <w:rFonts w:ascii="Calibri" w:eastAsia="Calibri" w:hAnsi="Calibri" w:cs="Times New Roman"/>
          <w:bCs/>
          <w:color w:val="663300"/>
          <w:sz w:val="24"/>
        </w:rPr>
        <w:br/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z przeciwwskazaniami (nietolerancja) do ich stosowania po złamaniu</w:t>
      </w:r>
      <w:r w:rsidR="001D4DE8">
        <w:rPr>
          <w:rFonts w:ascii="Calibri" w:eastAsia="Calibri" w:hAnsi="Calibri" w:cs="Times New Roman"/>
          <w:bCs/>
          <w:color w:val="663300"/>
          <w:sz w:val="24"/>
        </w:rPr>
        <w:t xml:space="preserve"> </w:t>
      </w:r>
      <w:proofErr w:type="spellStart"/>
      <w:r w:rsidR="001D4DE8">
        <w:rPr>
          <w:rFonts w:ascii="Calibri" w:eastAsia="Calibri" w:hAnsi="Calibri" w:cs="Times New Roman"/>
          <w:bCs/>
          <w:color w:val="663300"/>
          <w:sz w:val="24"/>
        </w:rPr>
        <w:t>osteoporotycznym</w:t>
      </w:r>
      <w:proofErr w:type="spellEnd"/>
      <w:r w:rsidR="001D4DE8">
        <w:rPr>
          <w:rFonts w:ascii="Calibri" w:eastAsia="Calibri" w:hAnsi="Calibri" w:cs="Times New Roman"/>
          <w:bCs/>
          <w:color w:val="663300"/>
          <w:sz w:val="24"/>
        </w:rPr>
        <w:t xml:space="preserve"> lub po badaniu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</w:t>
      </w:r>
      <w:proofErr w:type="spellStart"/>
      <w:r w:rsidRPr="00B329DC">
        <w:rPr>
          <w:rFonts w:ascii="Calibri" w:eastAsia="Calibri" w:hAnsi="Calibri" w:cs="Times New Roman"/>
          <w:bCs/>
          <w:color w:val="663300"/>
          <w:sz w:val="24"/>
        </w:rPr>
        <w:t>densytomytrycznym</w:t>
      </w:r>
      <w:proofErr w:type="spellEnd"/>
      <w:r w:rsidRPr="00B329DC">
        <w:rPr>
          <w:rFonts w:ascii="Calibri" w:eastAsia="Calibri" w:hAnsi="Calibri" w:cs="Times New Roman"/>
          <w:bCs/>
          <w:color w:val="663300"/>
          <w:sz w:val="24"/>
        </w:rPr>
        <w:t xml:space="preserve"> z wynikiem &lt;= -2,5. [MZ].</w:t>
      </w:r>
    </w:p>
    <w:p w:rsidR="00B329DC" w:rsidRDefault="00B329DC" w:rsidP="006569DA">
      <w:pPr>
        <w:spacing w:after="160" w:line="256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6569DA" w:rsidRPr="006569DA" w:rsidRDefault="006569DA" w:rsidP="006569DA">
      <w:pPr>
        <w:spacing w:after="160" w:line="256" w:lineRule="auto"/>
        <w:jc w:val="both"/>
        <w:rPr>
          <w:rFonts w:ascii="Calibri" w:eastAsia="Calibri" w:hAnsi="Calibri" w:cs="Times New Roman"/>
          <w:b/>
          <w:bCs/>
          <w:color w:val="663300"/>
          <w:sz w:val="24"/>
        </w:rPr>
      </w:pPr>
      <w:r w:rsidRPr="006569DA">
        <w:rPr>
          <w:rFonts w:ascii="Calibri" w:eastAsia="Calibri" w:hAnsi="Calibri" w:cs="Times New Roman"/>
          <w:b/>
          <w:bCs/>
          <w:color w:val="663300"/>
          <w:sz w:val="24"/>
        </w:rPr>
        <w:t>Rekomendowane działania systemowe w zakresie osteoporozy w Polsce:</w:t>
      </w:r>
    </w:p>
    <w:p w:rsidR="006569DA" w:rsidRPr="006569DA" w:rsidRDefault="006569DA" w:rsidP="006569DA">
      <w:pPr>
        <w:spacing w:after="160" w:line="256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6569DA">
        <w:rPr>
          <w:rFonts w:ascii="Calibri" w:eastAsia="Calibri" w:hAnsi="Calibri" w:cs="Times New Roman"/>
          <w:bCs/>
          <w:color w:val="663300"/>
          <w:sz w:val="24"/>
        </w:rPr>
        <w:t xml:space="preserve">W polskiej ochronie zdrowia brakuje systemowych rozwiązań, które są szeroko stosowane na całym świecie. Na oddziale urazowym powinien pracować koordynator, który identyfikuje chorych z przebytym złamaniem niskoenergetycznym, informuje ich o ryzyku kolejnego złamania i kieruje na diagnostykę i leczenie osteoporozy. Zalecana jest poprawa współpracy pomiędzy lekarzami POZ, a ośrodkami specjalistycznymi. Powinno propagować się diagnostykę oparta </w:t>
      </w:r>
      <w:r w:rsidR="001D4DE8">
        <w:rPr>
          <w:rFonts w:ascii="Calibri" w:eastAsia="Calibri" w:hAnsi="Calibri" w:cs="Times New Roman"/>
          <w:bCs/>
          <w:color w:val="663300"/>
          <w:sz w:val="24"/>
        </w:rPr>
        <w:br/>
      </w:r>
      <w:r w:rsidRPr="006569DA">
        <w:rPr>
          <w:rFonts w:ascii="Calibri" w:eastAsia="Calibri" w:hAnsi="Calibri" w:cs="Times New Roman"/>
          <w:bCs/>
          <w:color w:val="663300"/>
          <w:sz w:val="24"/>
        </w:rPr>
        <w:t>o kalkulator FRAX oraz poprawić infrastrukturę densytometrów.</w:t>
      </w:r>
    </w:p>
    <w:p w:rsidR="006569DA" w:rsidRPr="006569DA" w:rsidRDefault="006569DA" w:rsidP="006569DA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6569DA">
        <w:rPr>
          <w:rFonts w:ascii="Calibri" w:eastAsia="Calibri" w:hAnsi="Calibri" w:cs="Times New Roman"/>
          <w:bCs/>
          <w:i/>
          <w:color w:val="663300"/>
          <w:sz w:val="24"/>
        </w:rPr>
        <w:t>„Nawet lekarze myślą, że osteoporoza to choroba kobiet po menopauzie” – Prof. Piotr Głuszko, Reumatolog</w:t>
      </w:r>
      <w:r w:rsidR="001D4DE8">
        <w:rPr>
          <w:rFonts w:ascii="Calibri" w:eastAsia="Calibri" w:hAnsi="Calibri" w:cs="Times New Roman"/>
          <w:bCs/>
          <w:i/>
          <w:color w:val="663300"/>
          <w:sz w:val="24"/>
        </w:rPr>
        <w:t>.</w:t>
      </w:r>
    </w:p>
    <w:p w:rsidR="006569DA" w:rsidRPr="00B329DC" w:rsidRDefault="006569DA" w:rsidP="00B329DC">
      <w:pPr>
        <w:spacing w:after="160" w:line="256" w:lineRule="auto"/>
        <w:jc w:val="both"/>
        <w:rPr>
          <w:rFonts w:ascii="Calibri" w:eastAsia="Calibri" w:hAnsi="Calibri" w:cs="Times New Roman"/>
          <w:bCs/>
          <w:i/>
          <w:color w:val="663300"/>
          <w:sz w:val="24"/>
        </w:rPr>
      </w:pPr>
      <w:r w:rsidRPr="006569DA">
        <w:rPr>
          <w:rFonts w:ascii="Calibri" w:eastAsia="Calibri" w:hAnsi="Calibri" w:cs="Times New Roman"/>
          <w:bCs/>
          <w:i/>
          <w:color w:val="663300"/>
          <w:sz w:val="24"/>
        </w:rPr>
        <w:lastRenderedPageBreak/>
        <w:t>„</w:t>
      </w:r>
      <w:r w:rsidRPr="00B329DC">
        <w:rPr>
          <w:rFonts w:ascii="Calibri" w:eastAsia="Calibri" w:hAnsi="Calibri" w:cs="Times New Roman"/>
          <w:bCs/>
          <w:color w:val="663300"/>
          <w:sz w:val="24"/>
        </w:rPr>
        <w:t>Osteoporoza nie daje dolegliwości bólowych, dlatego tak trudno jest ją dostrzec, dopiero złamanie objawia się bólem, tyle tylko, że są to już pełne objawy kliniczne tej choroby” - Prof. Edward Czerwiński, Ortopeda</w:t>
      </w:r>
      <w:r w:rsidR="00B329DC">
        <w:rPr>
          <w:rFonts w:ascii="Calibri" w:eastAsia="Calibri" w:hAnsi="Calibri" w:cs="Times New Roman"/>
          <w:bCs/>
          <w:i/>
          <w:color w:val="663300"/>
          <w:sz w:val="24"/>
        </w:rPr>
        <w:t>.</w:t>
      </w:r>
    </w:p>
    <w:p w:rsidR="006569DA" w:rsidRDefault="006569DA" w:rsidP="00D56D28">
      <w:pPr>
        <w:ind w:right="-709"/>
        <w:rPr>
          <w:rFonts w:ascii="Times New Roman" w:eastAsia="Calibri" w:hAnsi="Times New Roman" w:cs="Times New Roman"/>
        </w:rPr>
      </w:pPr>
    </w:p>
    <w:p w:rsidR="001D4DE8" w:rsidRDefault="001D4DE8" w:rsidP="00D56D28">
      <w:pPr>
        <w:ind w:right="-709"/>
        <w:rPr>
          <w:rFonts w:ascii="Times New Roman" w:eastAsia="Calibri" w:hAnsi="Times New Roman" w:cs="Times New Roman"/>
        </w:rPr>
      </w:pPr>
    </w:p>
    <w:p w:rsidR="003664F7" w:rsidRPr="001D4DE8" w:rsidRDefault="003664F7" w:rsidP="00D56D28">
      <w:pPr>
        <w:ind w:right="-709"/>
        <w:rPr>
          <w:rFonts w:ascii="Calibri" w:eastAsia="Calibri" w:hAnsi="Calibri" w:cs="Times New Roman"/>
          <w:bCs/>
          <w:color w:val="663300"/>
          <w:sz w:val="24"/>
        </w:rPr>
      </w:pPr>
    </w:p>
    <w:p w:rsidR="001D4DE8" w:rsidRPr="001D4DE8" w:rsidRDefault="00D56D28" w:rsidP="00D56D28">
      <w:pPr>
        <w:spacing w:after="0" w:line="240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1D4DE8">
        <w:rPr>
          <w:rFonts w:ascii="Calibri" w:eastAsia="Calibri" w:hAnsi="Calibri" w:cs="Times New Roman"/>
          <w:bCs/>
          <w:color w:val="663300"/>
          <w:sz w:val="24"/>
        </w:rPr>
        <w:t xml:space="preserve">Kontakt: Anna Jasińska – Rzecznik Medycznej Racji Stanu, </w:t>
      </w:r>
    </w:p>
    <w:p w:rsidR="001D4DE8" w:rsidRPr="001D4DE8" w:rsidRDefault="00D56D28" w:rsidP="00D56D28">
      <w:pPr>
        <w:spacing w:after="0" w:line="240" w:lineRule="auto"/>
        <w:jc w:val="both"/>
        <w:rPr>
          <w:rFonts w:ascii="Calibri" w:eastAsia="Calibri" w:hAnsi="Calibri" w:cs="Times New Roman"/>
          <w:bCs/>
          <w:color w:val="663300"/>
          <w:sz w:val="24"/>
        </w:rPr>
      </w:pPr>
      <w:r w:rsidRPr="001D4DE8">
        <w:rPr>
          <w:rFonts w:ascii="Calibri" w:eastAsia="Calibri" w:hAnsi="Calibri" w:cs="Times New Roman"/>
          <w:bCs/>
          <w:color w:val="663300"/>
          <w:sz w:val="24"/>
        </w:rPr>
        <w:t xml:space="preserve">tel. +48 734 439 122, </w:t>
      </w:r>
    </w:p>
    <w:p w:rsidR="00D56D28" w:rsidRDefault="00D56D28" w:rsidP="00D56D28">
      <w:pPr>
        <w:spacing w:after="0" w:line="240" w:lineRule="auto"/>
        <w:jc w:val="both"/>
        <w:rPr>
          <w:rStyle w:val="Hipercze"/>
          <w:rFonts w:ascii="Arial Narrow" w:hAnsi="Arial Narrow"/>
          <w:lang w:val="en-US"/>
        </w:rPr>
      </w:pPr>
      <w:r w:rsidRPr="00DE1259">
        <w:rPr>
          <w:rFonts w:ascii="Calibri" w:eastAsia="Calibri" w:hAnsi="Calibri" w:cs="Times New Roman"/>
          <w:bCs/>
          <w:color w:val="663300"/>
          <w:sz w:val="24"/>
        </w:rPr>
        <w:t>e-mail</w:t>
      </w:r>
      <w:r w:rsidRPr="00405643">
        <w:rPr>
          <w:rFonts w:ascii="Arial Narrow" w:hAnsi="Arial Narrow"/>
          <w:color w:val="663300"/>
          <w:lang w:val="en-US"/>
        </w:rPr>
        <w:t xml:space="preserve">: </w:t>
      </w:r>
      <w:hyperlink r:id="rId14" w:history="1">
        <w:r w:rsidRPr="00405643">
          <w:rPr>
            <w:rStyle w:val="Hipercze"/>
            <w:rFonts w:ascii="Arial Narrow" w:hAnsi="Arial Narrow"/>
            <w:lang w:val="en-US"/>
          </w:rPr>
          <w:t>jasinska@greencomm.pl</w:t>
        </w:r>
      </w:hyperlink>
    </w:p>
    <w:p w:rsidR="00D56D28" w:rsidRDefault="00D56D28" w:rsidP="00D56D28">
      <w:pPr>
        <w:spacing w:after="0" w:line="240" w:lineRule="auto"/>
        <w:jc w:val="both"/>
        <w:rPr>
          <w:rStyle w:val="Hipercze"/>
          <w:rFonts w:ascii="Arial Narrow" w:hAnsi="Arial Narrow"/>
          <w:lang w:val="en-US"/>
        </w:rPr>
      </w:pPr>
    </w:p>
    <w:p w:rsidR="00CA4923" w:rsidRDefault="00CA4923" w:rsidP="00CA4923">
      <w:pPr>
        <w:rPr>
          <w:rFonts w:cstheme="minorHAnsi"/>
          <w:color w:val="663300"/>
        </w:rPr>
      </w:pPr>
    </w:p>
    <w:p w:rsidR="003664F7" w:rsidRDefault="003664F7" w:rsidP="00CA4923">
      <w:pPr>
        <w:rPr>
          <w:rFonts w:cstheme="minorHAnsi"/>
          <w:b/>
          <w:color w:val="663300"/>
          <w:sz w:val="28"/>
          <w:szCs w:val="28"/>
        </w:rPr>
      </w:pPr>
    </w:p>
    <w:p w:rsidR="003664F7" w:rsidRDefault="003664F7" w:rsidP="00CA4923">
      <w:pPr>
        <w:rPr>
          <w:rFonts w:cstheme="minorHAnsi"/>
          <w:b/>
          <w:color w:val="663300"/>
          <w:sz w:val="32"/>
          <w:szCs w:val="28"/>
        </w:rPr>
      </w:pPr>
    </w:p>
    <w:p w:rsidR="00B93214" w:rsidRDefault="00B93214" w:rsidP="00CA4923">
      <w:pPr>
        <w:rPr>
          <w:rFonts w:cstheme="minorHAnsi"/>
          <w:b/>
          <w:color w:val="663300"/>
          <w:sz w:val="32"/>
          <w:szCs w:val="28"/>
        </w:rPr>
      </w:pPr>
    </w:p>
    <w:p w:rsidR="00B93214" w:rsidRPr="00B93214" w:rsidRDefault="00B93214" w:rsidP="00B93214">
      <w:pPr>
        <w:rPr>
          <w:rFonts w:ascii="Calibri" w:eastAsia="Calibri" w:hAnsi="Calibri" w:cs="Calibri"/>
          <w:color w:val="663300"/>
        </w:rPr>
      </w:pPr>
      <w:bookmarkStart w:id="0" w:name="_GoBack"/>
      <w:bookmarkEnd w:id="0"/>
    </w:p>
    <w:p w:rsidR="00B93214" w:rsidRPr="00B93214" w:rsidRDefault="00B93214" w:rsidP="00B93214">
      <w:pPr>
        <w:rPr>
          <w:rFonts w:ascii="Calibri" w:eastAsia="Calibri" w:hAnsi="Calibri" w:cs="Calibri"/>
          <w:b/>
          <w:color w:val="663300"/>
        </w:rPr>
      </w:pPr>
      <w:r w:rsidRPr="00B93214">
        <w:rPr>
          <w:rFonts w:ascii="Calibri" w:eastAsia="Calibri" w:hAnsi="Calibri" w:cs="Calibri"/>
          <w:b/>
          <w:color w:val="663300"/>
        </w:rPr>
        <w:t xml:space="preserve">             </w:t>
      </w:r>
    </w:p>
    <w:p w:rsidR="001D4DE8" w:rsidRPr="00CA4923" w:rsidRDefault="001D4DE8" w:rsidP="00CA4923">
      <w:pPr>
        <w:rPr>
          <w:rFonts w:cstheme="minorHAnsi"/>
          <w:b/>
          <w:color w:val="663300"/>
          <w:sz w:val="28"/>
          <w:szCs w:val="28"/>
        </w:rPr>
      </w:pPr>
    </w:p>
    <w:p w:rsidR="009841EB" w:rsidRDefault="00424FF9" w:rsidP="00CA4923">
      <w:pPr>
        <w:rPr>
          <w:rFonts w:cstheme="minorHAnsi"/>
          <w:b/>
          <w:color w:val="663300"/>
          <w:sz w:val="24"/>
          <w:szCs w:val="24"/>
        </w:rPr>
      </w:pPr>
      <w:r>
        <w:rPr>
          <w:rFonts w:cstheme="minorHAnsi"/>
          <w:b/>
          <w:color w:val="663300"/>
          <w:sz w:val="24"/>
          <w:szCs w:val="24"/>
        </w:rPr>
        <w:t>`</w:t>
      </w:r>
    </w:p>
    <w:p w:rsidR="007171DA" w:rsidRDefault="007171DA" w:rsidP="00CA4923">
      <w:pPr>
        <w:rPr>
          <w:rFonts w:cstheme="minorHAnsi"/>
          <w:b/>
          <w:color w:val="663300"/>
          <w:sz w:val="24"/>
          <w:szCs w:val="24"/>
        </w:rPr>
      </w:pPr>
    </w:p>
    <w:p w:rsidR="007171DA" w:rsidRDefault="00B93214" w:rsidP="00CA4923">
      <w:pPr>
        <w:rPr>
          <w:rFonts w:cstheme="minorHAnsi"/>
          <w:b/>
          <w:color w:val="663300"/>
          <w:sz w:val="24"/>
          <w:szCs w:val="24"/>
        </w:rPr>
      </w:pPr>
      <w:r>
        <w:rPr>
          <w:rFonts w:cstheme="minorHAnsi"/>
          <w:b/>
          <w:color w:val="663300"/>
          <w:sz w:val="24"/>
          <w:szCs w:val="24"/>
        </w:rPr>
        <w:t>PARTNERZY:</w:t>
      </w:r>
    </w:p>
    <w:p w:rsidR="00090EAD" w:rsidRPr="00B93214" w:rsidRDefault="00B93214" w:rsidP="0066488D">
      <w:pPr>
        <w:ind w:right="-709"/>
        <w:rPr>
          <w:rFonts w:ascii="Calibri" w:eastAsia="Calibri" w:hAnsi="Calibri" w:cs="Times New Roman"/>
          <w:noProof/>
          <w:lang w:eastAsia="pl-PL"/>
        </w:rPr>
      </w:pPr>
      <w:r w:rsidRPr="00B9321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39822835" wp14:editId="514D398B">
            <wp:simplePos x="0" y="0"/>
            <wp:positionH relativeFrom="margin">
              <wp:posOffset>-73025</wp:posOffset>
            </wp:positionH>
            <wp:positionV relativeFrom="margin">
              <wp:posOffset>6755130</wp:posOffset>
            </wp:positionV>
            <wp:extent cx="1904365" cy="630555"/>
            <wp:effectExtent l="0" t="0" r="635" b="0"/>
            <wp:wrapSquare wrapText="bothSides"/>
            <wp:docPr id="17" name="Obraz 10" descr="Boehringer_Ingelheim_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Boehringer_Ingelheim_Logo.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21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4DC36079" wp14:editId="5B58E682">
            <wp:simplePos x="0" y="0"/>
            <wp:positionH relativeFrom="margin">
              <wp:posOffset>2322830</wp:posOffset>
            </wp:positionH>
            <wp:positionV relativeFrom="margin">
              <wp:posOffset>6567805</wp:posOffset>
            </wp:positionV>
            <wp:extent cx="1588135" cy="1052830"/>
            <wp:effectExtent l="0" t="0" r="0" b="0"/>
            <wp:wrapSquare wrapText="bothSides"/>
            <wp:docPr id="14" name="Obraz 12" descr="LillyLogo_RGB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illyLogo_RGB_R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21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5AC4DFDF" wp14:editId="4DCD44EE">
            <wp:simplePos x="0" y="0"/>
            <wp:positionH relativeFrom="margin">
              <wp:posOffset>4220845</wp:posOffset>
            </wp:positionH>
            <wp:positionV relativeFrom="margin">
              <wp:posOffset>6581140</wp:posOffset>
            </wp:positionV>
            <wp:extent cx="1552575" cy="1058545"/>
            <wp:effectExtent l="0" t="0" r="9525" b="8255"/>
            <wp:wrapSquare wrapText="bothSides"/>
            <wp:docPr id="16" name="Obraz 13" descr="NN_2c_CMYK_Co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NN_2c_CMYK_Co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F7E">
        <w:rPr>
          <w:rFonts w:cstheme="minorHAnsi"/>
          <w:i/>
          <w:noProof/>
          <w:color w:val="6633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8A794" wp14:editId="14518307">
                <wp:simplePos x="0" y="0"/>
                <wp:positionH relativeFrom="column">
                  <wp:posOffset>4949667</wp:posOffset>
                </wp:positionH>
                <wp:positionV relativeFrom="paragraph">
                  <wp:posOffset>2054066</wp:posOffset>
                </wp:positionV>
                <wp:extent cx="2253298" cy="1722755"/>
                <wp:effectExtent l="0" t="1588" r="12383" b="12382"/>
                <wp:wrapNone/>
                <wp:docPr id="5" name="Trójkąt prostokąt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53298" cy="1722755"/>
                        </a:xfrm>
                        <a:prstGeom prst="rtTriangle">
                          <a:avLst/>
                        </a:prstGeom>
                        <a:solidFill>
                          <a:srgbClr val="CF9D0F"/>
                        </a:solidFill>
                        <a:ln w="25400" cap="flat" cmpd="sng" algn="ctr">
                          <a:solidFill>
                            <a:srgbClr val="CF9D0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5" o:spid="_x0000_s1026" type="#_x0000_t6" style="position:absolute;margin-left:389.75pt;margin-top:161.75pt;width:177.45pt;height:135.6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" fillcolor="#cf9d0f" strokecolor="#cf9d0f" strokeweight="2pt"/>
            </w:pict>
          </mc:Fallback>
        </mc:AlternateContent>
      </w:r>
      <w:r w:rsidRPr="00F81F7E">
        <w:rPr>
          <w:rFonts w:cstheme="minorHAnsi"/>
          <w:i/>
          <w:noProof/>
          <w:color w:val="6633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C681B" wp14:editId="5AD28F00">
                <wp:simplePos x="0" y="0"/>
                <wp:positionH relativeFrom="column">
                  <wp:posOffset>5217160</wp:posOffset>
                </wp:positionH>
                <wp:positionV relativeFrom="paragraph">
                  <wp:posOffset>2283460</wp:posOffset>
                </wp:positionV>
                <wp:extent cx="2471420" cy="986790"/>
                <wp:effectExtent l="0" t="635" r="23495" b="23495"/>
                <wp:wrapNone/>
                <wp:docPr id="12" name="Trójkąt prostokąt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1420" cy="986790"/>
                        </a:xfrm>
                        <a:prstGeom prst="rtTriangle">
                          <a:avLst/>
                        </a:prstGeom>
                        <a:solidFill>
                          <a:srgbClr val="C0504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prostokątny 22" o:spid="_x0000_s1026" type="#_x0000_t6" style="position:absolute;margin-left:410.8pt;margin-top:179.8pt;width:194.6pt;height:77.7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" fillcolor="#632523" strokecolor="#630" strokeweight="2pt"/>
            </w:pict>
          </mc:Fallback>
        </mc:AlternateContent>
      </w:r>
      <w:r w:rsidR="00CA4923" w:rsidRPr="00CA4923">
        <w:rPr>
          <w:rFonts w:ascii="Times New Roman" w:eastAsia="Calibri" w:hAnsi="Times New Roman" w:cs="Times New Roman"/>
        </w:rPr>
        <w:t xml:space="preserve"> </w:t>
      </w:r>
    </w:p>
    <w:sectPr w:rsidR="00090EAD" w:rsidRPr="00B93214" w:rsidSect="003664F7">
      <w:endnotePr>
        <w:numFmt w:val="decimal"/>
      </w:endnotePr>
      <w:pgSz w:w="11906" w:h="16838"/>
      <w:pgMar w:top="1134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CB" w:rsidRDefault="000055CB" w:rsidP="000055CB">
      <w:pPr>
        <w:spacing w:after="0" w:line="240" w:lineRule="auto"/>
      </w:pPr>
      <w:r>
        <w:separator/>
      </w:r>
    </w:p>
  </w:endnote>
  <w:endnote w:type="continuationSeparator" w:id="0">
    <w:p w:rsidR="000055CB" w:rsidRDefault="000055CB" w:rsidP="0000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CB" w:rsidRDefault="000055CB" w:rsidP="000055CB">
      <w:pPr>
        <w:spacing w:after="0" w:line="240" w:lineRule="auto"/>
      </w:pPr>
      <w:r>
        <w:separator/>
      </w:r>
    </w:p>
  </w:footnote>
  <w:footnote w:type="continuationSeparator" w:id="0">
    <w:p w:rsidR="000055CB" w:rsidRDefault="000055CB" w:rsidP="0000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51"/>
    <w:multiLevelType w:val="hybridMultilevel"/>
    <w:tmpl w:val="02A48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1566"/>
    <w:multiLevelType w:val="hybridMultilevel"/>
    <w:tmpl w:val="385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A56"/>
    <w:multiLevelType w:val="hybridMultilevel"/>
    <w:tmpl w:val="20E674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00DF6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213B"/>
    <w:multiLevelType w:val="hybridMultilevel"/>
    <w:tmpl w:val="17A0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0E11"/>
    <w:multiLevelType w:val="hybridMultilevel"/>
    <w:tmpl w:val="A0F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8251D"/>
    <w:multiLevelType w:val="hybridMultilevel"/>
    <w:tmpl w:val="6FDA99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F563E2B"/>
    <w:multiLevelType w:val="hybridMultilevel"/>
    <w:tmpl w:val="4BF68CC4"/>
    <w:lvl w:ilvl="0" w:tplc="9DEAA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29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2D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60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2D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E5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0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F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C1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25688"/>
    <w:multiLevelType w:val="hybridMultilevel"/>
    <w:tmpl w:val="4DAE82D2"/>
    <w:lvl w:ilvl="0" w:tplc="1054BB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10C8A"/>
    <w:multiLevelType w:val="hybridMultilevel"/>
    <w:tmpl w:val="600621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65F4B"/>
    <w:multiLevelType w:val="hybridMultilevel"/>
    <w:tmpl w:val="02B8C13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305FC4"/>
    <w:multiLevelType w:val="hybridMultilevel"/>
    <w:tmpl w:val="7E307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9030C"/>
    <w:multiLevelType w:val="hybridMultilevel"/>
    <w:tmpl w:val="156AF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85423"/>
    <w:multiLevelType w:val="hybridMultilevel"/>
    <w:tmpl w:val="B69AA32A"/>
    <w:lvl w:ilvl="0" w:tplc="1134502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984806" w:themeColor="accent6" w:themeShade="8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1B"/>
    <w:rsid w:val="00002CB6"/>
    <w:rsid w:val="000044A6"/>
    <w:rsid w:val="000055CB"/>
    <w:rsid w:val="00012721"/>
    <w:rsid w:val="000132A5"/>
    <w:rsid w:val="00017362"/>
    <w:rsid w:val="00021C86"/>
    <w:rsid w:val="00032824"/>
    <w:rsid w:val="000338A8"/>
    <w:rsid w:val="00041D0F"/>
    <w:rsid w:val="00044CAA"/>
    <w:rsid w:val="000779E3"/>
    <w:rsid w:val="00083392"/>
    <w:rsid w:val="00090EAD"/>
    <w:rsid w:val="000A00AB"/>
    <w:rsid w:val="000C436C"/>
    <w:rsid w:val="000D0412"/>
    <w:rsid w:val="000D4261"/>
    <w:rsid w:val="00101FA5"/>
    <w:rsid w:val="00105FB7"/>
    <w:rsid w:val="001113C9"/>
    <w:rsid w:val="001260D2"/>
    <w:rsid w:val="00151CCD"/>
    <w:rsid w:val="0017437A"/>
    <w:rsid w:val="00181513"/>
    <w:rsid w:val="00183BA8"/>
    <w:rsid w:val="001B1EC1"/>
    <w:rsid w:val="001B4F4D"/>
    <w:rsid w:val="001C751F"/>
    <w:rsid w:val="001D4DE8"/>
    <w:rsid w:val="001E49AE"/>
    <w:rsid w:val="001E4D05"/>
    <w:rsid w:val="001E7FA7"/>
    <w:rsid w:val="00205BA3"/>
    <w:rsid w:val="0021331F"/>
    <w:rsid w:val="002138AB"/>
    <w:rsid w:val="00226D6C"/>
    <w:rsid w:val="00240AB6"/>
    <w:rsid w:val="00252D68"/>
    <w:rsid w:val="00254BA2"/>
    <w:rsid w:val="0025545D"/>
    <w:rsid w:val="00281D24"/>
    <w:rsid w:val="00292D1D"/>
    <w:rsid w:val="00294C5E"/>
    <w:rsid w:val="002A2C11"/>
    <w:rsid w:val="002A50E3"/>
    <w:rsid w:val="002A5E6E"/>
    <w:rsid w:val="002A7A3A"/>
    <w:rsid w:val="002B2E41"/>
    <w:rsid w:val="002B3F46"/>
    <w:rsid w:val="002C0104"/>
    <w:rsid w:val="002C2D92"/>
    <w:rsid w:val="002D36AD"/>
    <w:rsid w:val="002D6EBC"/>
    <w:rsid w:val="002E28F2"/>
    <w:rsid w:val="00300287"/>
    <w:rsid w:val="00307F53"/>
    <w:rsid w:val="00314610"/>
    <w:rsid w:val="00322E81"/>
    <w:rsid w:val="00324743"/>
    <w:rsid w:val="00336698"/>
    <w:rsid w:val="0034522C"/>
    <w:rsid w:val="003630A1"/>
    <w:rsid w:val="003664F7"/>
    <w:rsid w:val="003730CD"/>
    <w:rsid w:val="00381263"/>
    <w:rsid w:val="003900AA"/>
    <w:rsid w:val="003B0D33"/>
    <w:rsid w:val="003B3FED"/>
    <w:rsid w:val="003B465B"/>
    <w:rsid w:val="00401B47"/>
    <w:rsid w:val="00401E65"/>
    <w:rsid w:val="00412EDC"/>
    <w:rsid w:val="00423B54"/>
    <w:rsid w:val="00424FF9"/>
    <w:rsid w:val="004344D6"/>
    <w:rsid w:val="0043774E"/>
    <w:rsid w:val="00441A55"/>
    <w:rsid w:val="00442089"/>
    <w:rsid w:val="00457F87"/>
    <w:rsid w:val="0049235B"/>
    <w:rsid w:val="004A497A"/>
    <w:rsid w:val="004A52B2"/>
    <w:rsid w:val="004A61B6"/>
    <w:rsid w:val="004E5FCC"/>
    <w:rsid w:val="004F4470"/>
    <w:rsid w:val="005032D1"/>
    <w:rsid w:val="0051030F"/>
    <w:rsid w:val="00514AEF"/>
    <w:rsid w:val="005243B5"/>
    <w:rsid w:val="0055024F"/>
    <w:rsid w:val="005546B4"/>
    <w:rsid w:val="00555948"/>
    <w:rsid w:val="00582222"/>
    <w:rsid w:val="005904D1"/>
    <w:rsid w:val="005B1FCF"/>
    <w:rsid w:val="005C1041"/>
    <w:rsid w:val="005C7DAA"/>
    <w:rsid w:val="005E0DD4"/>
    <w:rsid w:val="005F3F86"/>
    <w:rsid w:val="006059BA"/>
    <w:rsid w:val="00610E2F"/>
    <w:rsid w:val="0061272C"/>
    <w:rsid w:val="00613362"/>
    <w:rsid w:val="00620B8F"/>
    <w:rsid w:val="00623319"/>
    <w:rsid w:val="00630967"/>
    <w:rsid w:val="00654A57"/>
    <w:rsid w:val="006569DA"/>
    <w:rsid w:val="0066318B"/>
    <w:rsid w:val="0066488D"/>
    <w:rsid w:val="00680887"/>
    <w:rsid w:val="00691826"/>
    <w:rsid w:val="006A451B"/>
    <w:rsid w:val="006C7A3C"/>
    <w:rsid w:val="006F18D3"/>
    <w:rsid w:val="006F393C"/>
    <w:rsid w:val="007065F4"/>
    <w:rsid w:val="00707DB4"/>
    <w:rsid w:val="007171DA"/>
    <w:rsid w:val="00717D3A"/>
    <w:rsid w:val="007207D8"/>
    <w:rsid w:val="00727408"/>
    <w:rsid w:val="00732FBB"/>
    <w:rsid w:val="007435AB"/>
    <w:rsid w:val="00756163"/>
    <w:rsid w:val="007745F1"/>
    <w:rsid w:val="007747E0"/>
    <w:rsid w:val="007778FC"/>
    <w:rsid w:val="0078361B"/>
    <w:rsid w:val="00793F46"/>
    <w:rsid w:val="007966EC"/>
    <w:rsid w:val="007A44EA"/>
    <w:rsid w:val="007D6EDB"/>
    <w:rsid w:val="007F2F59"/>
    <w:rsid w:val="00800B6B"/>
    <w:rsid w:val="00804E06"/>
    <w:rsid w:val="0082362B"/>
    <w:rsid w:val="0083202C"/>
    <w:rsid w:val="00846085"/>
    <w:rsid w:val="00852D17"/>
    <w:rsid w:val="00861003"/>
    <w:rsid w:val="008824F2"/>
    <w:rsid w:val="008839BC"/>
    <w:rsid w:val="008967CE"/>
    <w:rsid w:val="008A3E63"/>
    <w:rsid w:val="008E1606"/>
    <w:rsid w:val="008E61CB"/>
    <w:rsid w:val="008F0BCF"/>
    <w:rsid w:val="008F124D"/>
    <w:rsid w:val="00903C03"/>
    <w:rsid w:val="00910360"/>
    <w:rsid w:val="00911C08"/>
    <w:rsid w:val="00913410"/>
    <w:rsid w:val="009147A7"/>
    <w:rsid w:val="00922961"/>
    <w:rsid w:val="00923100"/>
    <w:rsid w:val="009611E6"/>
    <w:rsid w:val="00963562"/>
    <w:rsid w:val="00964023"/>
    <w:rsid w:val="009775D5"/>
    <w:rsid w:val="00983C0D"/>
    <w:rsid w:val="009841EB"/>
    <w:rsid w:val="009B7266"/>
    <w:rsid w:val="009B7B93"/>
    <w:rsid w:val="00A108EC"/>
    <w:rsid w:val="00A12F8D"/>
    <w:rsid w:val="00A15197"/>
    <w:rsid w:val="00A3314D"/>
    <w:rsid w:val="00A33829"/>
    <w:rsid w:val="00A3646A"/>
    <w:rsid w:val="00A421AF"/>
    <w:rsid w:val="00A60766"/>
    <w:rsid w:val="00A625D7"/>
    <w:rsid w:val="00A64429"/>
    <w:rsid w:val="00A7590B"/>
    <w:rsid w:val="00A91097"/>
    <w:rsid w:val="00A918B6"/>
    <w:rsid w:val="00A97398"/>
    <w:rsid w:val="00AB2539"/>
    <w:rsid w:val="00AD4C55"/>
    <w:rsid w:val="00AD652D"/>
    <w:rsid w:val="00AE6329"/>
    <w:rsid w:val="00AE742D"/>
    <w:rsid w:val="00B05EB1"/>
    <w:rsid w:val="00B07C58"/>
    <w:rsid w:val="00B15D5A"/>
    <w:rsid w:val="00B175EA"/>
    <w:rsid w:val="00B271F5"/>
    <w:rsid w:val="00B329DC"/>
    <w:rsid w:val="00B330A8"/>
    <w:rsid w:val="00B36054"/>
    <w:rsid w:val="00B5630D"/>
    <w:rsid w:val="00B62A8B"/>
    <w:rsid w:val="00B6611A"/>
    <w:rsid w:val="00B81E81"/>
    <w:rsid w:val="00B85C12"/>
    <w:rsid w:val="00B93214"/>
    <w:rsid w:val="00BA1B73"/>
    <w:rsid w:val="00BC38C9"/>
    <w:rsid w:val="00BD3713"/>
    <w:rsid w:val="00BF0076"/>
    <w:rsid w:val="00BF3CE1"/>
    <w:rsid w:val="00BF7E87"/>
    <w:rsid w:val="00C07BC5"/>
    <w:rsid w:val="00C1383A"/>
    <w:rsid w:val="00C33213"/>
    <w:rsid w:val="00C35570"/>
    <w:rsid w:val="00C371B2"/>
    <w:rsid w:val="00C37C9A"/>
    <w:rsid w:val="00C423FE"/>
    <w:rsid w:val="00C46430"/>
    <w:rsid w:val="00C53782"/>
    <w:rsid w:val="00C6246D"/>
    <w:rsid w:val="00C67451"/>
    <w:rsid w:val="00C67A7F"/>
    <w:rsid w:val="00C85B8C"/>
    <w:rsid w:val="00C861AD"/>
    <w:rsid w:val="00CA4923"/>
    <w:rsid w:val="00CB00F9"/>
    <w:rsid w:val="00CF2FA7"/>
    <w:rsid w:val="00D13F2B"/>
    <w:rsid w:val="00D16940"/>
    <w:rsid w:val="00D44FC8"/>
    <w:rsid w:val="00D53F5E"/>
    <w:rsid w:val="00D56D28"/>
    <w:rsid w:val="00D62A32"/>
    <w:rsid w:val="00D7236D"/>
    <w:rsid w:val="00D9619F"/>
    <w:rsid w:val="00D97915"/>
    <w:rsid w:val="00DA37A0"/>
    <w:rsid w:val="00DA649F"/>
    <w:rsid w:val="00DB7E50"/>
    <w:rsid w:val="00DD06CE"/>
    <w:rsid w:val="00DE1259"/>
    <w:rsid w:val="00DE1E4C"/>
    <w:rsid w:val="00DF5BC7"/>
    <w:rsid w:val="00E0463E"/>
    <w:rsid w:val="00E22153"/>
    <w:rsid w:val="00E315D0"/>
    <w:rsid w:val="00E40641"/>
    <w:rsid w:val="00E4483A"/>
    <w:rsid w:val="00E9427D"/>
    <w:rsid w:val="00E9448E"/>
    <w:rsid w:val="00EC3556"/>
    <w:rsid w:val="00EE03AA"/>
    <w:rsid w:val="00EF2C30"/>
    <w:rsid w:val="00EF4707"/>
    <w:rsid w:val="00F03037"/>
    <w:rsid w:val="00F1043B"/>
    <w:rsid w:val="00F13184"/>
    <w:rsid w:val="00F2194A"/>
    <w:rsid w:val="00F55360"/>
    <w:rsid w:val="00F83C72"/>
    <w:rsid w:val="00FA50BF"/>
    <w:rsid w:val="00FA5D22"/>
    <w:rsid w:val="00FB7A14"/>
    <w:rsid w:val="00FD1602"/>
    <w:rsid w:val="00FD7FDF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EF"/>
  </w:style>
  <w:style w:type="paragraph" w:styleId="Nagwek1">
    <w:name w:val="heading 1"/>
    <w:basedOn w:val="Normalny"/>
    <w:next w:val="Normalny"/>
    <w:link w:val="Nagwek1Znak"/>
    <w:uiPriority w:val="9"/>
    <w:qFormat/>
    <w:rsid w:val="00077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AEF"/>
    <w:pPr>
      <w:ind w:left="720"/>
      <w:contextualSpacing/>
    </w:pPr>
  </w:style>
  <w:style w:type="paragraph" w:customStyle="1" w:styleId="Default">
    <w:name w:val="Default"/>
    <w:rsid w:val="00514AE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3B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274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207D8"/>
    <w:pPr>
      <w:spacing w:after="0" w:line="240" w:lineRule="auto"/>
    </w:pPr>
  </w:style>
  <w:style w:type="paragraph" w:customStyle="1" w:styleId="default0">
    <w:name w:val="default"/>
    <w:basedOn w:val="Normalny"/>
    <w:rsid w:val="0070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5C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5C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0055C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81E81"/>
    <w:rPr>
      <w:i/>
      <w:iCs/>
    </w:rPr>
  </w:style>
  <w:style w:type="table" w:styleId="Tabela-Siatka">
    <w:name w:val="Table Grid"/>
    <w:basedOn w:val="Standardowy"/>
    <w:uiPriority w:val="59"/>
    <w:rsid w:val="0036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EF"/>
  </w:style>
  <w:style w:type="paragraph" w:styleId="Nagwek1">
    <w:name w:val="heading 1"/>
    <w:basedOn w:val="Normalny"/>
    <w:next w:val="Normalny"/>
    <w:link w:val="Nagwek1Znak"/>
    <w:uiPriority w:val="9"/>
    <w:qFormat/>
    <w:rsid w:val="00077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AEF"/>
    <w:pPr>
      <w:ind w:left="720"/>
      <w:contextualSpacing/>
    </w:pPr>
  </w:style>
  <w:style w:type="paragraph" w:customStyle="1" w:styleId="Default">
    <w:name w:val="Default"/>
    <w:rsid w:val="00514AE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3B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274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207D8"/>
    <w:pPr>
      <w:spacing w:after="0" w:line="240" w:lineRule="auto"/>
    </w:pPr>
  </w:style>
  <w:style w:type="paragraph" w:customStyle="1" w:styleId="default0">
    <w:name w:val="default"/>
    <w:basedOn w:val="Normalny"/>
    <w:rsid w:val="0070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5C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5C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0055C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81E81"/>
    <w:rPr>
      <w:i/>
      <w:iCs/>
    </w:rPr>
  </w:style>
  <w:style w:type="table" w:styleId="Tabela-Siatka">
    <w:name w:val="Table Grid"/>
    <w:basedOn w:val="Standardowy"/>
    <w:uiPriority w:val="59"/>
    <w:rsid w:val="0036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asinska@greenco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4F48-7237-4337-998D-4E51310C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3191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2019-12-10T15:26:00Z</cp:lastPrinted>
  <dcterms:created xsi:type="dcterms:W3CDTF">2019-10-09T12:08:00Z</dcterms:created>
  <dcterms:modified xsi:type="dcterms:W3CDTF">2019-12-10T15:27:00Z</dcterms:modified>
</cp:coreProperties>
</file>